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255" w:vertAnchor="margin" w:tblpY="363" w:leftFromText="180" w:topFromText="0" w:rightFromText="180" w:bottomFromText="0"/>
        <w:tblW w:w="10368" w:type="dxa"/>
        <w:tblLook w:val="0000" w:firstRow="0" w:lastRow="0" w:firstColumn="0" w:lastColumn="0" w:noHBand="0" w:noVBand="0"/>
      </w:tblPr>
      <w:tblGrid>
        <w:gridCol w:w="5148"/>
        <w:gridCol w:w="5220"/>
      </w:tblGrid>
      <w:tr>
        <w:tblPrEx/>
        <w:trPr>
          <w:trHeight w:val="1267"/>
        </w:trPr>
        <w:tc>
          <w:tcPr>
            <w:shd w:val="clear" w:color="auto" w:fill="auto"/>
            <w:tcW w:w="5148" w:type="dxa"/>
            <w:textDirection w:val="lrTb"/>
            <w:noWrap w:val="false"/>
          </w:tcPr>
          <w:p>
            <w:r/>
            <w:r/>
          </w:p>
        </w:tc>
        <w:tc>
          <w:tcPr>
            <w:tcW w:w="5220" w:type="dxa"/>
            <w:textDirection w:val="lrTb"/>
            <w:noWrap w:val="false"/>
          </w:tcPr>
          <w:p>
            <w:pPr>
              <w:ind w:left="394"/>
              <w:jc w:val="both"/>
              <w:rPr>
                <w:b/>
              </w:rPr>
            </w:pPr>
            <w:r>
              <w:rPr>
                <w:b/>
              </w:rPr>
              <w:t xml:space="preserve">Утверждаю: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left="394"/>
              <w:jc w:val="both"/>
            </w:pPr>
            <w:r/>
            <w:r/>
          </w:p>
          <w:p>
            <w:pPr>
              <w:ind w:left="394"/>
            </w:pPr>
            <w:r>
              <w:t xml:space="preserve">Заместитель директора</w:t>
            </w:r>
            <w:r>
              <w:t xml:space="preserve"> </w:t>
            </w:r>
            <w:r>
              <w:t xml:space="preserve">по правовому обеспечению и управлению собственностью филиала</w:t>
            </w:r>
            <w:r/>
          </w:p>
          <w:p>
            <w:pPr>
              <w:ind w:left="394"/>
            </w:pPr>
            <w:r>
              <w:t xml:space="preserve">ПАО «</w:t>
            </w:r>
            <w:r>
              <w:t xml:space="preserve">Россети</w:t>
            </w:r>
            <w:r>
              <w:t xml:space="preserve"> Урал» - «Пермэнерго»</w:t>
            </w:r>
            <w:r/>
          </w:p>
          <w:p>
            <w:pPr>
              <w:ind w:left="394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left="394" w:hanging="28"/>
            </w:pPr>
            <w:r>
              <w:t xml:space="preserve">__________________ </w:t>
            </w:r>
            <w:r>
              <w:t xml:space="preserve">Н.А. Хаснуллин</w:t>
            </w:r>
            <w:r/>
          </w:p>
          <w:p>
            <w:pPr>
              <w:ind w:left="394" w:hanging="28"/>
            </w:pPr>
            <w:r/>
            <w:r/>
          </w:p>
          <w:p>
            <w:pPr>
              <w:ind w:left="394"/>
              <w:tabs>
                <w:tab w:val="left" w:pos="5746" w:leader="none"/>
              </w:tabs>
            </w:pPr>
            <w:r>
              <w:t xml:space="preserve">«_____» ___________ 20</w:t>
            </w:r>
            <w:r>
              <w:t xml:space="preserve">26</w:t>
            </w:r>
            <w:r>
              <w:t xml:space="preserve"> </w:t>
            </w:r>
            <w:r>
              <w:t xml:space="preserve">г.</w:t>
            </w:r>
            <w:r/>
          </w:p>
          <w:p>
            <w:pPr>
              <w:jc w:val="right"/>
            </w:pPr>
            <w:r/>
            <w:r/>
          </w:p>
        </w:tc>
      </w:tr>
    </w:tbl>
    <w:p>
      <w:pPr>
        <w:ind w:left="1083" w:hanging="1083"/>
        <w:tabs>
          <w:tab w:val="left" w:pos="5746" w:leader="none"/>
        </w:tabs>
      </w:pPr>
      <w:r>
        <w:rPr>
          <w:b/>
        </w:rPr>
        <w:tab/>
      </w:r>
      <w:r>
        <w:rPr>
          <w:b/>
        </w:rPr>
        <w:tab/>
      </w:r>
      <w:r/>
    </w:p>
    <w:p>
      <w:pPr>
        <w:ind w:left="1083" w:hanging="1083"/>
        <w:tabs>
          <w:tab w:val="left" w:pos="5746" w:leader="none"/>
        </w:tabs>
      </w:pPr>
      <w:r>
        <w:tab/>
      </w:r>
      <w:r>
        <w:tab/>
      </w:r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</w:pPr>
      <w:r/>
      <w:r/>
    </w:p>
    <w:p>
      <w:pPr>
        <w:ind w:left="1083" w:hanging="1083"/>
        <w:tabs>
          <w:tab w:val="left" w:pos="5746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1"/>
        <w:jc w:val="center"/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</w:rPr>
      </w:pP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</w:rPr>
        <w:t xml:space="preserve">ТЕХНИЧЕСКОЕ ЗАДАНИЕ</w:t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</w:rPr>
      </w:r>
    </w:p>
    <w:p>
      <w:pPr>
        <w:pStyle w:val="974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74"/>
        <w:jc w:val="center"/>
        <w:rPr>
          <w:b/>
        </w:rPr>
      </w:pPr>
      <w:r>
        <w:rPr>
          <w:b/>
        </w:rPr>
        <w:t xml:space="preserve">для организации и проведения сравнения цен в электронной форме, участниками которого могут быть </w:t>
      </w:r>
      <w:r>
        <w:rPr>
          <w:b/>
        </w:rPr>
        <w:t xml:space="preserve">любые лица</w:t>
      </w:r>
      <w:r>
        <w:rPr>
          <w:b/>
        </w:rPr>
      </w:r>
      <w:r>
        <w:rPr>
          <w:b/>
        </w:rPr>
      </w:r>
    </w:p>
    <w:p>
      <w:pPr>
        <w:pStyle w:val="974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74"/>
        <w:jc w:val="center"/>
        <w:rPr>
          <w:b/>
        </w:rPr>
      </w:pPr>
      <w:r>
        <w:rPr>
          <w:b/>
        </w:rPr>
        <w:t xml:space="preserve">на </w:t>
      </w:r>
      <w:r>
        <w:rPr>
          <w:b/>
        </w:rPr>
        <w:t xml:space="preserve">право заключения договора</w:t>
      </w:r>
      <w:r>
        <w:rPr>
          <w:b/>
        </w:rPr>
        <w:t xml:space="preserve"> на поставку </w:t>
      </w:r>
      <w:r>
        <w:rPr>
          <w:b/>
        </w:rPr>
        <w:t xml:space="preserve">питьевой воды</w:t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  <w:t xml:space="preserve">  </w:t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г. </w:t>
      </w:r>
      <w:r>
        <w:rPr>
          <w:b/>
        </w:rPr>
        <w:t xml:space="preserve">Пермь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</w:rPr>
        <w:t xml:space="preserve">2026</w:t>
      </w:r>
      <w:r>
        <w:rPr>
          <w:b/>
        </w:rPr>
        <w:t xml:space="preserve"> год</w:t>
      </w:r>
      <w:r>
        <w:rPr>
          <w:b/>
        </w:rPr>
      </w:r>
      <w:r>
        <w:rPr>
          <w:b/>
        </w:rPr>
      </w:r>
    </w:p>
    <w:p>
      <w:pPr>
        <w:pStyle w:val="951"/>
        <w:numPr>
          <w:ilvl w:val="0"/>
          <w:numId w:val="20"/>
        </w:numPr>
        <w:ind w:left="0" w:firstLine="0"/>
        <w:jc w:val="both"/>
        <w:keepLines w:val="0"/>
        <w:keepNext w:val="0"/>
        <w:spacing w:before="0"/>
        <w:tabs>
          <w:tab w:val="left" w:pos="284" w:leader="none"/>
        </w:tabs>
        <w:rPr>
          <w:rFonts w:ascii="Times New Roman" w:hAnsi="Times New Roman" w:eastAsia="SimSun" w:cs="Times New Roman"/>
          <w:b/>
          <w:bCs/>
          <w:iCs/>
          <w:color w:val="auto"/>
        </w:rPr>
      </w:pPr>
      <w:r>
        <w:rPr>
          <w:rFonts w:ascii="Times New Roman" w:hAnsi="Times New Roman" w:eastAsia="SimSun" w:cs="Times New Roman"/>
          <w:b/>
          <w:bCs/>
          <w:iCs/>
          <w:color w:val="auto"/>
        </w:rPr>
        <w:t xml:space="preserve">Общие сведения о предмете </w:t>
      </w:r>
      <w:r>
        <w:rPr>
          <w:rFonts w:ascii="Times New Roman" w:hAnsi="Times New Roman" w:eastAsia="SimSun" w:cs="Times New Roman"/>
          <w:b/>
          <w:bCs/>
          <w:iCs/>
          <w:color w:val="auto"/>
        </w:rPr>
        <w:t xml:space="preserve">сравнения цен</w:t>
      </w:r>
      <w:r>
        <w:rPr>
          <w:rFonts w:ascii="Times New Roman" w:hAnsi="Times New Roman" w:eastAsia="SimSun" w:cs="Times New Roman"/>
          <w:b/>
          <w:bCs/>
          <w:iCs/>
          <w:color w:val="auto"/>
        </w:rPr>
        <w:t xml:space="preserve"> в электронной форме, участниками которого могут быть </w:t>
      </w:r>
      <w:r>
        <w:rPr>
          <w:rFonts w:ascii="Times New Roman" w:hAnsi="Times New Roman" w:eastAsia="SimSun" w:cs="Times New Roman"/>
          <w:b/>
          <w:bCs/>
          <w:iCs/>
          <w:color w:val="auto"/>
        </w:rPr>
        <w:t xml:space="preserve">любые лица</w:t>
      </w:r>
      <w:r>
        <w:rPr>
          <w:rFonts w:ascii="Times New Roman" w:hAnsi="Times New Roman" w:eastAsia="SimSun" w:cs="Times New Roman"/>
          <w:b/>
          <w:bCs/>
          <w:iCs/>
          <w:color w:val="auto"/>
        </w:rPr>
        <w:t xml:space="preserve"> (далее - закупка):</w:t>
      </w:r>
      <w:r>
        <w:rPr>
          <w:rFonts w:ascii="Times New Roman" w:hAnsi="Times New Roman" w:eastAsia="SimSun" w:cs="Times New Roman"/>
          <w:b/>
          <w:bCs/>
          <w:iCs/>
          <w:color w:val="auto"/>
        </w:rPr>
      </w:r>
      <w:r>
        <w:rPr>
          <w:rFonts w:ascii="Times New Roman" w:hAnsi="Times New Roman" w:eastAsia="SimSun" w:cs="Times New Roman"/>
          <w:b/>
          <w:bCs/>
          <w:iCs/>
          <w:color w:val="auto"/>
        </w:rPr>
      </w:r>
    </w:p>
    <w:p>
      <w:pPr>
        <w:rPr>
          <w:rFonts w:eastAsia="SimSun"/>
        </w:rPr>
      </w:pPr>
      <w:r>
        <w:rPr>
          <w:rFonts w:eastAsia="SimSun"/>
        </w:rPr>
      </w:r>
      <w:r>
        <w:rPr>
          <w:rFonts w:eastAsia="SimSun"/>
        </w:rPr>
      </w:r>
      <w:r>
        <w:rPr>
          <w:rFonts w:eastAsia="SimSun"/>
        </w:rPr>
      </w:r>
    </w:p>
    <w:p>
      <w:pPr>
        <w:pStyle w:val="971"/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</w:rPr>
      </w:pPr>
      <w:r>
        <w:rPr>
          <w:b/>
        </w:rPr>
        <w:t xml:space="preserve">Предмет закупки: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426" w:leader="none"/>
          <w:tab w:val="left" w:pos="8931" w:leader="none"/>
        </w:tabs>
        <w:rPr>
          <w:i/>
        </w:rPr>
      </w:pPr>
      <w:r>
        <w:t xml:space="preserve">Право заключения договор</w:t>
      </w:r>
      <w:r>
        <w:t xml:space="preserve">а</w:t>
      </w:r>
      <w:r>
        <w:t xml:space="preserve"> на поставку </w:t>
      </w:r>
      <w:r>
        <w:t xml:space="preserve">питьевой воды</w:t>
      </w:r>
      <w:r>
        <w:t xml:space="preserve">.</w:t>
      </w:r>
      <w:r>
        <w:t xml:space="preserve"> </w:t>
      </w:r>
      <w:r>
        <w:rPr>
          <w:i/>
        </w:rPr>
      </w:r>
      <w:r>
        <w:rPr>
          <w:i/>
        </w:rPr>
      </w:r>
    </w:p>
    <w:p>
      <w:pPr>
        <w:jc w:val="both"/>
        <w:tabs>
          <w:tab w:val="left" w:pos="426" w:leader="none"/>
          <w:tab w:val="left" w:pos="8931" w:leader="none"/>
        </w:tabs>
      </w:pPr>
      <w:r/>
      <w:r/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</w:rPr>
      </w:pPr>
      <w:r>
        <w:rPr>
          <w:b/>
        </w:rPr>
        <w:t xml:space="preserve">Основание для проведения закупки: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426" w:leader="none"/>
          <w:tab w:val="left" w:pos="709" w:leader="none"/>
        </w:tabs>
      </w:pPr>
      <w:r>
        <w:t xml:space="preserve">План закупок 2026 года</w:t>
      </w:r>
      <w:r>
        <w:t xml:space="preserve">.</w:t>
      </w:r>
      <w:r/>
    </w:p>
    <w:p>
      <w:pPr>
        <w:jc w:val="both"/>
        <w:tabs>
          <w:tab w:val="left" w:pos="426" w:leader="none"/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</w:rPr>
      </w:pPr>
      <w:r>
        <w:rPr>
          <w:b/>
        </w:rPr>
        <w:t xml:space="preserve">Заказчик: </w:t>
      </w:r>
      <w:r>
        <w:t xml:space="preserve">П</w:t>
      </w:r>
      <w:r>
        <w:t xml:space="preserve">АО «</w:t>
      </w:r>
      <w:r>
        <w:t xml:space="preserve">Россети</w:t>
      </w:r>
      <w:r>
        <w:t xml:space="preserve"> Урал</w:t>
      </w:r>
      <w:r>
        <w:t xml:space="preserve">» (филиал «</w:t>
      </w:r>
      <w:r>
        <w:t xml:space="preserve">Пермэнерго</w:t>
      </w:r>
      <w:r>
        <w:t xml:space="preserve">»).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rFonts w:eastAsia="MS Mincho"/>
          <w:color w:val="ff0000"/>
          <w:lang w:eastAsia="ja-JP"/>
        </w:rPr>
      </w:pPr>
      <w:r>
        <w:rPr>
          <w:b/>
        </w:rPr>
        <w:t xml:space="preserve">Место</w:t>
      </w:r>
      <w:r>
        <w:t xml:space="preserve"> </w:t>
      </w:r>
      <w:r>
        <w:rPr>
          <w:b/>
        </w:rPr>
        <w:t xml:space="preserve">поставки</w:t>
      </w:r>
      <w:r>
        <w:rPr>
          <w:b/>
        </w:rPr>
        <w:t xml:space="preserve">: </w:t>
      </w:r>
      <w:r>
        <w:t xml:space="preserve">г. Пермь</w:t>
      </w:r>
      <w:r>
        <w:t xml:space="preserve">.</w:t>
      </w: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</w:p>
    <w:tbl>
      <w:tblPr>
        <w:tblW w:w="989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843"/>
        <w:gridCol w:w="2818"/>
        <w:gridCol w:w="6236"/>
      </w:tblGrid>
      <w:tr>
        <w:tblPrEx/>
        <w:trPr>
          <w:trHeight w:val="215"/>
        </w:trPr>
        <w:tc>
          <w:tcPr>
            <w:tcW w:w="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№</w:t>
            </w:r>
            <w:r/>
            <w:r/>
          </w:p>
          <w:p>
            <w:pPr>
              <w:jc w:val="center"/>
            </w:pPr>
            <w:r>
              <w:t xml:space="preserve">п/п</w:t>
            </w:r>
            <w:r/>
            <w:r/>
          </w:p>
        </w:tc>
        <w:tc>
          <w:tcPr>
            <w:tcW w:w="281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Производственные отделения</w:t>
            </w:r>
            <w:r/>
            <w:r/>
          </w:p>
        </w:tc>
        <w:tc>
          <w:tcPr>
            <w:tcW w:w="623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Адрес объекта</w:t>
            </w:r>
            <w:r/>
            <w:r/>
          </w:p>
        </w:tc>
      </w:tr>
      <w:tr>
        <w:tblPrEx/>
        <w:trPr>
          <w:trHeight w:val="117"/>
        </w:trPr>
        <w:tc>
          <w:tcPr>
            <w:tcW w:w="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  <w:r/>
          </w:p>
        </w:tc>
        <w:tc>
          <w:tcPr>
            <w:tcW w:w="2818" w:type="dxa"/>
            <w:vAlign w:val="center"/>
            <w:vMerge w:val="restart"/>
            <w:textDirection w:val="lrTb"/>
            <w:noWrap w:val="false"/>
          </w:tcPr>
          <w:p>
            <w:r>
              <w:t xml:space="preserve">Пермские городские электрические сети</w:t>
            </w:r>
            <w:r/>
            <w:r/>
          </w:p>
          <w:p>
            <w:pPr>
              <w:jc w:val="center"/>
            </w:pPr>
            <w:r/>
            <w:r/>
            <w:r/>
          </w:p>
          <w:p>
            <w:pPr>
              <w:jc w:val="center"/>
            </w:pPr>
            <w:r/>
            <w:r/>
            <w:r/>
          </w:p>
          <w:p>
            <w:pPr>
              <w:jc w:val="center"/>
            </w:pPr>
            <w:r/>
            <w:r/>
            <w:r/>
          </w:p>
        </w:tc>
        <w:tc>
          <w:tcPr>
            <w:tcW w:w="6236" w:type="dxa"/>
            <w:textDirection w:val="lrTb"/>
            <w:noWrap w:val="false"/>
          </w:tcPr>
          <w:p>
            <w:r>
              <w:t xml:space="preserve">г. Пермь - Управление ПО, ул. </w:t>
            </w:r>
            <w:r>
              <w:t xml:space="preserve">Камчатовская</w:t>
            </w:r>
            <w:r>
              <w:t xml:space="preserve">, 26</w:t>
            </w:r>
            <w:r/>
            <w:r/>
          </w:p>
        </w:tc>
      </w:tr>
      <w:tr>
        <w:tblPrEx/>
        <w:trPr>
          <w:trHeight w:val="117"/>
        </w:trPr>
        <w:tc>
          <w:tcPr>
            <w:tcW w:w="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  <w:r/>
          </w:p>
        </w:tc>
        <w:tc>
          <w:tcPr>
            <w:tcW w:w="281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  <w:r/>
          </w:p>
        </w:tc>
        <w:tc>
          <w:tcPr>
            <w:tcW w:w="6236" w:type="dxa"/>
            <w:textDirection w:val="lrTb"/>
            <w:noWrap w:val="false"/>
          </w:tcPr>
          <w:p>
            <w:r>
              <w:t xml:space="preserve">г. Пермь - Орджоникидзевский РЭС, ул. Писарева,   2</w:t>
            </w:r>
            <w:r/>
            <w:r/>
          </w:p>
        </w:tc>
      </w:tr>
      <w:tr>
        <w:tblPrEx/>
        <w:trPr>
          <w:trHeight w:val="287"/>
        </w:trPr>
        <w:tc>
          <w:tcPr>
            <w:tcW w:w="843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</w:t>
            </w:r>
            <w:r/>
            <w:r/>
          </w:p>
        </w:tc>
        <w:tc>
          <w:tcPr>
            <w:tcW w:w="281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  <w:r/>
          </w:p>
        </w:tc>
        <w:tc>
          <w:tcPr>
            <w:tcW w:w="6236" w:type="dxa"/>
            <w:textDirection w:val="lrTb"/>
            <w:noWrap w:val="false"/>
          </w:tcPr>
          <w:p>
            <w:r>
              <w:t xml:space="preserve">г. Пермь - Камский РЭС, ул. Шоссе Космонавтов, 61</w:t>
            </w:r>
            <w:r/>
            <w:r/>
          </w:p>
        </w:tc>
      </w:tr>
      <w:tr>
        <w:tblPrEx/>
        <w:trPr>
          <w:trHeight w:val="287"/>
        </w:trPr>
        <w:tc>
          <w:tcPr>
            <w:tcW w:w="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4</w:t>
            </w:r>
            <w:r/>
            <w:r/>
          </w:p>
        </w:tc>
        <w:tc>
          <w:tcPr>
            <w:tcW w:w="281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r>
              <w:t xml:space="preserve">г. Пермь - Восточный РЭС, ул. П. Лумумбы,8</w:t>
            </w:r>
            <w:r/>
            <w:r/>
          </w:p>
        </w:tc>
      </w:tr>
      <w:tr>
        <w:tblPrEx/>
        <w:trPr>
          <w:trHeight w:val="287"/>
        </w:trPr>
        <w:tc>
          <w:tcPr>
            <w:tcW w:w="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5</w:t>
            </w:r>
            <w:r/>
            <w:r/>
          </w:p>
        </w:tc>
        <w:tc>
          <w:tcPr>
            <w:tcW w:w="2818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r>
              <w:t xml:space="preserve">г. Пермь - Южный РЭС, ул. Рязанская, 118</w:t>
            </w:r>
            <w:r/>
            <w:r/>
          </w:p>
        </w:tc>
      </w:tr>
      <w:tr>
        <w:tblPrEx/>
        <w:trPr>
          <w:trHeight w:val="287"/>
        </w:trPr>
        <w:tc>
          <w:tcPr>
            <w:tcW w:w="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6</w:t>
            </w:r>
            <w:r/>
            <w:r/>
          </w:p>
        </w:tc>
        <w:tc>
          <w:tcPr>
            <w:tcW w:w="2818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r>
              <w:t xml:space="preserve">г. Пермь - Кировский РЭС, ул. Б. Хмельницкого, 82</w:t>
            </w:r>
            <w:r/>
            <w:r/>
          </w:p>
        </w:tc>
      </w:tr>
      <w:tr>
        <w:tblPrEx/>
        <w:trPr>
          <w:trHeight w:val="287"/>
        </w:trPr>
        <w:tc>
          <w:tcPr>
            <w:tcW w:w="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7</w:t>
            </w:r>
            <w:r/>
            <w:r/>
          </w:p>
        </w:tc>
        <w:tc>
          <w:tcPr>
            <w:tcW w:w="2818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r>
              <w:t xml:space="preserve">г. Пермь - Кировское отделение, ул. Автозаводская, 23</w:t>
            </w:r>
            <w:r/>
            <w:r/>
          </w:p>
        </w:tc>
      </w:tr>
      <w:tr>
        <w:tblPrEx/>
        <w:trPr>
          <w:trHeight w:val="287"/>
        </w:trPr>
        <w:tc>
          <w:tcPr>
            <w:tcW w:w="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8</w:t>
            </w:r>
            <w:r/>
            <w:r/>
          </w:p>
        </w:tc>
        <w:tc>
          <w:tcPr>
            <w:tcW w:w="2818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r>
              <w:t xml:space="preserve">г. Пермь - Камское отделение, ул. Ш. Космонавтов, 61</w:t>
            </w:r>
            <w:r/>
            <w:r/>
          </w:p>
        </w:tc>
      </w:tr>
      <w:tr>
        <w:tblPrEx/>
        <w:trPr>
          <w:trHeight w:val="287"/>
        </w:trPr>
        <w:tc>
          <w:tcPr>
            <w:tcW w:w="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9</w:t>
            </w:r>
            <w:r/>
            <w:r/>
          </w:p>
        </w:tc>
        <w:tc>
          <w:tcPr>
            <w:tcW w:w="2818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r>
              <w:t xml:space="preserve">г. Пермь - ТСКЭУ, ул. </w:t>
            </w:r>
            <w:r>
              <w:t xml:space="preserve">Генкеля</w:t>
            </w:r>
            <w:r>
              <w:t xml:space="preserve">, 1а</w:t>
            </w:r>
            <w:r/>
            <w:r/>
          </w:p>
        </w:tc>
      </w:tr>
      <w:tr>
        <w:tblPrEx/>
        <w:trPr>
          <w:trHeight w:val="287"/>
        </w:trPr>
        <w:tc>
          <w:tcPr>
            <w:tcW w:w="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10</w:t>
            </w:r>
            <w:r/>
            <w:r/>
          </w:p>
        </w:tc>
        <w:tc>
          <w:tcPr>
            <w:tcW w:w="2818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r>
              <w:t xml:space="preserve">г. Пермь - Южное отделение, ул. Не</w:t>
            </w:r>
            <w:r>
              <w:t xml:space="preserve">фтяников,13</w:t>
            </w:r>
            <w:r/>
            <w:r/>
          </w:p>
        </w:tc>
      </w:tr>
      <w:tr>
        <w:tblPrEx/>
        <w:trPr>
          <w:trHeight w:val="287"/>
        </w:trPr>
        <w:tc>
          <w:tcPr>
            <w:tcW w:w="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11</w:t>
            </w:r>
            <w:r/>
            <w:r/>
          </w:p>
        </w:tc>
        <w:tc>
          <w:tcPr>
            <w:tcW w:w="2818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r>
              <w:t xml:space="preserve">г. Пермь - Восточное отделение, ул. Металлистов,8</w:t>
            </w:r>
            <w:r/>
            <w:r/>
          </w:p>
        </w:tc>
      </w:tr>
      <w:tr>
        <w:tblPrEx/>
        <w:trPr>
          <w:trHeight w:val="287"/>
        </w:trPr>
        <w:tc>
          <w:tcPr>
            <w:tcW w:w="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12</w:t>
            </w:r>
            <w:r/>
            <w:r/>
          </w:p>
        </w:tc>
        <w:tc>
          <w:tcPr>
            <w:tcW w:w="2818" w:type="dxa"/>
            <w:vAlign w:val="center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r>
              <w:t xml:space="preserve">г. Пермь - рем. база,  ул. </w:t>
            </w:r>
            <w:r>
              <w:t xml:space="preserve">Усольская</w:t>
            </w:r>
            <w:r>
              <w:t xml:space="preserve">, 2а</w:t>
            </w:r>
            <w:r/>
            <w:r/>
          </w:p>
        </w:tc>
      </w:tr>
    </w:tbl>
    <w:p>
      <w:pPr>
        <w:jc w:val="both"/>
        <w:tabs>
          <w:tab w:val="left" w:pos="426" w:leader="none"/>
        </w:tabs>
        <w:rPr>
          <w:rFonts w:eastAsia="MS Mincho"/>
          <w:color w:val="ff0000"/>
          <w:lang w:eastAsia="ja-JP"/>
        </w:rPr>
      </w:pP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</w:p>
    <w:p>
      <w:pPr>
        <w:pStyle w:val="971"/>
        <w:numPr>
          <w:ilvl w:val="1"/>
          <w:numId w:val="20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</w:pPr>
      <w:r>
        <w:rPr>
          <w:b/>
          <w:bCs/>
        </w:rPr>
        <w:t xml:space="preserve">Срок поставки:</w:t>
      </w:r>
      <w:r>
        <w:t xml:space="preserve"> </w:t>
      </w:r>
      <w:r>
        <w:rPr>
          <w:bCs/>
        </w:rPr>
        <w:t xml:space="preserve">с 01.10.2026</w:t>
      </w:r>
      <w:r>
        <w:rPr>
          <w:bCs/>
        </w:rPr>
        <w:t xml:space="preserve"> по 30.12.2026</w:t>
      </w:r>
      <w:r>
        <w:rPr>
          <w:bCs/>
        </w:rPr>
        <w:t xml:space="preserve"> (каждой партии товара один раз в неделю)</w:t>
      </w:r>
      <w:r>
        <w:rPr>
          <w:rFonts w:eastAsia="SimSun"/>
        </w:rPr>
        <w:t xml:space="preserve">.</w:t>
      </w:r>
      <w:r/>
    </w:p>
    <w:p>
      <w:pPr>
        <w:pStyle w:val="971"/>
        <w:numPr>
          <w:ilvl w:val="2"/>
          <w:numId w:val="20"/>
        </w:numPr>
        <w:ind w:left="0" w:firstLine="0"/>
        <w:jc w:val="both"/>
        <w:tabs>
          <w:tab w:val="left" w:pos="284" w:leader="none"/>
          <w:tab w:val="left" w:pos="426" w:leader="none"/>
          <w:tab w:val="left" w:pos="851" w:leader="none"/>
        </w:tabs>
      </w:pPr>
      <w:r>
        <w:t xml:space="preserve">Участник закупки должен </w:t>
      </w:r>
      <w:r>
        <w:t xml:space="preserve">осуществить</w:t>
      </w:r>
      <w:r>
        <w:t xml:space="preserve"> </w:t>
      </w:r>
      <w:r>
        <w:t xml:space="preserve">поставку продукции</w:t>
      </w:r>
      <w:r>
        <w:t xml:space="preserve"> </w:t>
      </w:r>
      <w:r>
        <w:t xml:space="preserve">в требуемых объемах и </w:t>
      </w:r>
      <w:r>
        <w:t xml:space="preserve">не позднее </w:t>
      </w:r>
      <w:r>
        <w:t xml:space="preserve">сроков</w:t>
      </w:r>
      <w:r>
        <w:t xml:space="preserve">, приведенных в </w:t>
      </w:r>
      <w:r>
        <w:t xml:space="preserve">Ценовом предложении (Приложение №4</w:t>
      </w:r>
      <w:r>
        <w:t xml:space="preserve"> </w:t>
      </w:r>
      <w:r>
        <w:t xml:space="preserve">к </w:t>
      </w:r>
      <w:r>
        <w:t xml:space="preserve">Техническому заданию</w:t>
      </w:r>
      <w:r>
        <w:t xml:space="preserve">). Заявки, не обеспечивающие </w:t>
      </w:r>
      <w:r>
        <w:t xml:space="preserve">поставку продукции </w:t>
      </w:r>
      <w:r>
        <w:t xml:space="preserve">в указанные сроки, к участию в закупке не допускаются.</w:t>
      </w:r>
      <w:r/>
    </w:p>
    <w:p>
      <w:pPr>
        <w:pStyle w:val="959"/>
        <w:ind w:left="720"/>
        <w:jc w:val="both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20"/>
        </w:numPr>
        <w:ind w:left="0" w:firstLine="0"/>
        <w:jc w:val="both"/>
        <w:tabs>
          <w:tab w:val="left" w:pos="709" w:leader="none"/>
        </w:tabs>
      </w:pPr>
      <w:r>
        <w:rPr>
          <w:b/>
        </w:rPr>
        <w:t xml:space="preserve">Источник финансирования:</w:t>
      </w:r>
      <w:r>
        <w:t xml:space="preserve"> </w:t>
      </w:r>
      <w:r>
        <w:t xml:space="preserve">себестоимость.</w:t>
      </w:r>
      <w:r/>
    </w:p>
    <w:p>
      <w:pPr>
        <w:numPr>
          <w:ilvl w:val="1"/>
          <w:numId w:val="20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Ценовые показатели:</w:t>
      </w:r>
      <w:r>
        <w:rPr>
          <w:b/>
        </w:rPr>
      </w:r>
      <w:r>
        <w:rPr>
          <w:b/>
        </w:rPr>
      </w: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217"/>
        <w:gridCol w:w="3886"/>
        <w:gridCol w:w="2011"/>
        <w:gridCol w:w="1174"/>
        <w:gridCol w:w="1805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закупка/лот (</w:t>
            </w:r>
            <w:r>
              <w:rPr>
                <w:sz w:val="20"/>
                <w:szCs w:val="20"/>
                <w:lang w:val="en-US"/>
              </w:rPr>
              <w:t xml:space="preserve">ID</w:t>
            </w:r>
            <w:r>
              <w:rPr>
                <w:sz w:val="20"/>
                <w:szCs w:val="20"/>
              </w:rPr>
              <w:t xml:space="preserve"> заявки)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лота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 xml:space="preserve">т.ч</w:t>
            </w:r>
            <w:r>
              <w:rPr>
                <w:sz w:val="20"/>
                <w:szCs w:val="20"/>
              </w:rPr>
              <w:t xml:space="preserve">. НДС,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ОКПД2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62002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Поставка </w:t>
            </w:r>
            <w:r>
              <w:rPr>
                <w:sz w:val="20"/>
                <w:szCs w:val="20"/>
              </w:rPr>
              <w:t xml:space="preserve">питьевой воды</w:t>
            </w: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265 077,52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11.07.11.120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num" w:pos="0" w:leader="none"/>
        </w:tabs>
      </w:pPr>
      <w:r>
        <w:tab/>
      </w:r>
      <w:r>
        <w:t xml:space="preserve">Начальная (максимальная) ц</w:t>
      </w:r>
      <w: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/>
    </w:p>
    <w:p>
      <w:pPr>
        <w:ind w:firstLine="709"/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  <w:t xml:space="preserve">Цена договора установлена в размере максимальной (предельной) стоимости закупки и составляет 265 077 (двести шестьдесят пять тысяч семьдесят семь) рублей 52 копейки с НДС.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highlight w:val="none"/>
        </w:rPr>
      </w:pPr>
      <w:r>
        <w:rPr>
          <w:highlight w:val="none"/>
        </w:rPr>
        <w:t xml:space="preserve">Превышение цены за единицу продукции согласно Приложению №1.1. – Расчет НМЦ (Единичные расценки) к Техническому заданию не допускается.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highlight w:val="none"/>
        </w:rPr>
      </w:pPr>
      <w:r>
        <w:rPr>
          <w:highlight w:val="none"/>
        </w:rPr>
        <w:t xml:space="preserve">Цена договора, предлагаемая участником закупки, не может превышать и быть ниже начальной (максимальной) цены договора, указанной в пункте 1.7 Технического задания.</w:t>
      </w:r>
      <w:r>
        <w:rPr>
          <w:highlight w:val="none"/>
        </w:rPr>
      </w:r>
      <w:r>
        <w:rPr>
          <w:highlight w:val="none"/>
        </w:rPr>
      </w:r>
    </w:p>
    <w:p>
      <w:pPr>
        <w:pStyle w:val="990"/>
        <w:ind w:left="0" w:right="0" w:firstLine="709"/>
        <w:spacing w:after="0" w:line="240" w:lineRule="auto"/>
        <w:rPr>
          <w:szCs w:val="24"/>
          <w:highlight w:val="none"/>
        </w:rPr>
      </w:pPr>
      <w:r>
        <w:rPr>
          <w:szCs w:val="24"/>
          <w:highlight w:val="none"/>
        </w:rPr>
        <w:t xml:space="preserve">Стоимость единичных расценок по каждому виду </w:t>
      </w:r>
      <w:r>
        <w:rPr>
          <w:szCs w:val="24"/>
          <w:highlight w:val="none"/>
        </w:rPr>
        <w:t xml:space="preserve">продукции</w:t>
      </w:r>
      <w:r>
        <w:rPr>
          <w:szCs w:val="24"/>
          <w:highlight w:val="none"/>
        </w:rPr>
        <w:t xml:space="preserve"> не должна превышать максимальную стоимость единичных расценок заказчика, приведенных в Таблице 1:</w: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pStyle w:val="990"/>
        <w:ind w:left="0" w:right="0" w:firstLine="0"/>
        <w:jc w:val="right"/>
        <w:spacing w:after="200" w:line="276" w:lineRule="auto"/>
        <w:rPr>
          <w:sz w:val="22"/>
          <w:szCs w:val="22"/>
          <w:highlight w:val="none"/>
        </w:rPr>
      </w:pPr>
      <w:r>
        <w:rPr>
          <w:sz w:val="22"/>
          <w:szCs w:val="24"/>
          <w:highlight w:val="none"/>
        </w:rPr>
      </w:r>
      <w:r>
        <w:rPr>
          <w:sz w:val="22"/>
          <w:szCs w:val="24"/>
          <w:highlight w:val="none"/>
        </w:rPr>
      </w:r>
    </w:p>
    <w:p>
      <w:pPr>
        <w:pStyle w:val="990"/>
        <w:ind w:left="0" w:right="0" w:firstLine="0"/>
        <w:jc w:val="right"/>
        <w:spacing w:after="200" w:line="276" w:lineRule="auto"/>
        <w:rPr>
          <w:sz w:val="22"/>
          <w:szCs w:val="22"/>
          <w:highlight w:val="none"/>
        </w:rPr>
      </w:pPr>
      <w:r>
        <w:rPr>
          <w:sz w:val="22"/>
          <w:szCs w:val="24"/>
          <w:highlight w:val="none"/>
        </w:rPr>
        <w:t xml:space="preserve">Таблица 1</w:t>
      </w:r>
      <w:r>
        <w:rPr>
          <w:sz w:val="22"/>
          <w:szCs w:val="24"/>
          <w:highlight w:val="none"/>
        </w:rPr>
      </w:r>
      <w:r>
        <w:rPr>
          <w:sz w:val="22"/>
          <w:szCs w:val="22"/>
          <w:highlight w:val="none"/>
        </w:rPr>
      </w:r>
    </w:p>
    <w:tbl>
      <w:tblPr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929"/>
        <w:gridCol w:w="1560"/>
        <w:gridCol w:w="2583"/>
      </w:tblGrid>
      <w:tr>
        <w:tblPrEx/>
        <w:trPr>
          <w:trHeight w:val="468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6"/>
                <w:highlight w:val="none"/>
              </w:rPr>
            </w:pPr>
            <w:r>
              <w:rPr>
                <w:b/>
                <w:bCs/>
                <w:sz w:val="18"/>
                <w:szCs w:val="16"/>
                <w:highlight w:val="none"/>
              </w:rPr>
              <w:t xml:space="preserve">№ п/п</w:t>
            </w:r>
            <w:r>
              <w:rPr>
                <w:b/>
                <w:bCs/>
                <w:sz w:val="18"/>
                <w:szCs w:val="16"/>
                <w:highlight w:val="none"/>
              </w:rPr>
            </w:r>
            <w:r>
              <w:rPr>
                <w:b/>
                <w:bCs/>
                <w:sz w:val="18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6"/>
                <w:highlight w:val="none"/>
              </w:rPr>
            </w:pPr>
            <w:r>
              <w:rPr>
                <w:b/>
                <w:bCs/>
                <w:sz w:val="18"/>
                <w:szCs w:val="16"/>
                <w:highlight w:val="none"/>
              </w:rPr>
              <w:t xml:space="preserve">Наименование продукции</w:t>
            </w:r>
            <w:r>
              <w:rPr>
                <w:b/>
                <w:bCs/>
                <w:sz w:val="18"/>
                <w:szCs w:val="16"/>
                <w:highlight w:val="none"/>
              </w:rPr>
            </w:r>
            <w:r>
              <w:rPr>
                <w:b/>
                <w:bCs/>
                <w:sz w:val="18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6"/>
                <w:highlight w:val="none"/>
              </w:rPr>
            </w:pPr>
            <w:r>
              <w:rPr>
                <w:b/>
                <w:bCs/>
                <w:sz w:val="18"/>
                <w:szCs w:val="16"/>
                <w:highlight w:val="none"/>
              </w:rPr>
              <w:t xml:space="preserve">Единичный показатель </w:t>
            </w:r>
            <w:r>
              <w:rPr>
                <w:b/>
                <w:bCs/>
                <w:sz w:val="18"/>
                <w:szCs w:val="16"/>
                <w:highlight w:val="none"/>
              </w:rPr>
            </w:r>
            <w:r>
              <w:rPr>
                <w:b/>
                <w:bCs/>
                <w:sz w:val="18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6"/>
                <w:highlight w:val="none"/>
              </w:rPr>
            </w:pPr>
            <w:r>
              <w:rPr>
                <w:b/>
                <w:bCs/>
                <w:sz w:val="18"/>
                <w:szCs w:val="16"/>
                <w:highlight w:val="none"/>
              </w:rPr>
              <w:t xml:space="preserve">Максимальная стоимость единичной </w:t>
            </w:r>
            <w:r>
              <w:rPr>
                <w:b/>
                <w:bCs/>
                <w:sz w:val="18"/>
                <w:szCs w:val="16"/>
                <w:highlight w:val="none"/>
              </w:rPr>
              <w:t xml:space="preserve">расценки Заказчика (руб.) с</w:t>
            </w:r>
            <w:r>
              <w:rPr>
                <w:b/>
                <w:bCs/>
                <w:sz w:val="18"/>
                <w:szCs w:val="16"/>
                <w:highlight w:val="none"/>
              </w:rPr>
              <w:t xml:space="preserve"> НДС</w:t>
            </w:r>
            <w:r>
              <w:rPr>
                <w:b/>
                <w:bCs/>
                <w:sz w:val="18"/>
                <w:szCs w:val="16"/>
                <w:highlight w:val="none"/>
              </w:rPr>
            </w:r>
            <w:r>
              <w:rPr>
                <w:b/>
                <w:bCs/>
                <w:sz w:val="18"/>
                <w:szCs w:val="16"/>
                <w:highlight w:val="none"/>
              </w:rPr>
            </w:r>
          </w:p>
        </w:tc>
      </w:tr>
      <w:tr>
        <w:tblPrEx/>
        <w:trPr>
          <w:trHeight w:val="1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 1</w:t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Вода питьевая 19 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БУТ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165,00</w:t>
            </w:r>
            <w:r/>
          </w:p>
        </w:tc>
      </w:tr>
      <w:tr>
        <w:tblPrEx/>
        <w:trPr>
          <w:trHeight w:val="1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92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</w:tr>
      <w:tr>
        <w:tblPrEx/>
        <w:trPr>
          <w:trHeight w:val="155"/>
        </w:trPr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8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  <w:t xml:space="preserve">Суммарная стоимость единичных расценок:</w:t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8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0"/>
                <w:szCs w:val="16"/>
                <w:highlight w:val="none"/>
              </w:rPr>
            </w:pPr>
            <w:r>
              <w:rPr>
                <w:b/>
                <w:bCs/>
                <w:sz w:val="20"/>
                <w:szCs w:val="16"/>
                <w:highlight w:val="none"/>
              </w:rPr>
              <w:t xml:space="preserve">165,00</w:t>
            </w:r>
            <w:r>
              <w:rPr>
                <w:b/>
                <w:bCs/>
                <w:sz w:val="20"/>
                <w:szCs w:val="16"/>
                <w:highlight w:val="none"/>
              </w:rPr>
            </w:r>
            <w:r>
              <w:rPr>
                <w:b/>
                <w:bCs/>
                <w:sz w:val="20"/>
                <w:szCs w:val="16"/>
                <w:highlight w:val="none"/>
              </w:rPr>
            </w:r>
          </w:p>
        </w:tc>
      </w:tr>
    </w:tbl>
    <w:p>
      <w:pPr>
        <w:jc w:val="both"/>
        <w:tabs>
          <w:tab w:val="num" w:pos="0" w:leader="none"/>
        </w:tabs>
      </w:pPr>
      <w:r/>
      <w:r/>
    </w:p>
    <w:p>
      <w:pPr>
        <w:pStyle w:val="971"/>
        <w:numPr>
          <w:ilvl w:val="1"/>
          <w:numId w:val="20"/>
        </w:numPr>
        <w:ind w:left="0" w:firstLine="0"/>
        <w:jc w:val="both"/>
        <w:widowControl w:val="off"/>
        <w:tabs>
          <w:tab w:val="num" w:pos="426" w:leader="none"/>
        </w:tabs>
      </w:pPr>
      <w:r>
        <w:rPr>
          <w:b/>
        </w:rPr>
        <w:t xml:space="preserve">Условия оплаты:</w:t>
      </w:r>
      <w:r/>
    </w:p>
    <w:p>
      <w:pPr>
        <w:jc w:val="both"/>
        <w:widowControl w:val="off"/>
        <w:tabs>
          <w:tab w:val="num" w:pos="0" w:leader="none"/>
        </w:tabs>
      </w:pPr>
      <w:r>
        <w:t xml:space="preserve">Оплата производится за продукцию</w:t>
      </w:r>
      <w:bookmarkStart w:id="0" w:name="_GoBack"/>
      <w:r/>
      <w:bookmarkEnd w:id="0"/>
      <w:r>
        <w:t xml:space="preserve"> по безналичному расчету путем перечисления денежных средств на расчетный счет Поставщика в течение </w:t>
      </w:r>
      <w:r>
        <w:t xml:space="preserve">30</w:t>
      </w:r>
      <w:r>
        <w:t xml:space="preserve"> (</w:t>
      </w:r>
      <w:r>
        <w:t xml:space="preserve">тридцати</w:t>
      </w:r>
      <w:r>
        <w:t xml:space="preserve">)</w:t>
      </w:r>
      <w:r>
        <w:t xml:space="preserve"> рабочих</w:t>
      </w:r>
      <w:r>
        <w:t xml:space="preserve"> дней</w:t>
      </w:r>
      <w:r>
        <w:rPr>
          <w:rStyle w:val="995"/>
        </w:rPr>
        <w:footnoteReference w:id="2"/>
      </w:r>
      <w:r>
        <w:t xml:space="preserve"> со дня подписания Покупателем (Грузополучателем) документа о приемке продукции при наличии подписанного Сторонами Договора поставки продукции в оригинале, в соответствии с п.</w:t>
      </w:r>
      <w:r>
        <w:t xml:space="preserve">2.4</w:t>
      </w:r>
      <w:r>
        <w:t xml:space="preserve"> Договора (Приложение №2 к настоящему ТЗ)</w:t>
      </w:r>
      <w:r>
        <w:t xml:space="preserve">.</w:t>
      </w:r>
      <w:r/>
    </w:p>
    <w:p>
      <w:pPr>
        <w:jc w:val="both"/>
        <w:widowControl w:val="off"/>
        <w:tabs>
          <w:tab w:val="num" w:pos="0" w:leader="none"/>
        </w:tabs>
      </w:pPr>
      <w:r/>
      <w:r/>
    </w:p>
    <w:p>
      <w:pPr>
        <w:pStyle w:val="959"/>
        <w:numPr>
          <w:ilvl w:val="1"/>
          <w:numId w:val="20"/>
        </w:numPr>
        <w:jc w:val="both"/>
        <w:widowControl w:val="off"/>
        <w:rPr>
          <w:b/>
          <w:sz w:val="24"/>
        </w:rPr>
      </w:pPr>
      <w:r>
        <w:rPr>
          <w:b/>
          <w:sz w:val="24"/>
        </w:rPr>
        <w:t xml:space="preserve">Требования, предъявляемые к поставке продукции: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71"/>
        <w:numPr>
          <w:ilvl w:val="2"/>
          <w:numId w:val="20"/>
        </w:numPr>
        <w:ind w:left="0" w:firstLine="0"/>
        <w:jc w:val="both"/>
        <w:widowControl w:val="off"/>
      </w:pPr>
      <w:r>
        <w:t xml:space="preserve">Поставка продукции осуществляется автомобильным транспортном в адрес Грузополучателей силами и за счёт Поставщика в соответствии с объемом, указанным в приложении №</w:t>
      </w:r>
      <w:r>
        <w:t xml:space="preserve">4</w:t>
      </w:r>
      <w:r>
        <w:t xml:space="preserve"> к настоящему ТЗ</w:t>
      </w:r>
      <w:r>
        <w:t xml:space="preserve">. Досрочная поставка продукции и иные способы отгрузки могут производиться только по письменному согласованию с Заказчиком.</w:t>
      </w:r>
      <w:r/>
    </w:p>
    <w:p>
      <w:pPr>
        <w:pStyle w:val="971"/>
        <w:numPr>
          <w:ilvl w:val="2"/>
          <w:numId w:val="20"/>
        </w:numPr>
        <w:ind w:left="0" w:firstLine="0"/>
        <w:jc w:val="both"/>
        <w:widowControl w:val="off"/>
      </w:pPr>
      <w:r>
        <w:t xml:space="preserve">Поставляемая продукция должна быть упакована соответственно данному виду продукции, </w:t>
      </w:r>
      <w:r>
        <w:t xml:space="preserve">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приложении №</w:t>
      </w:r>
      <w:r>
        <w:t xml:space="preserve">4</w:t>
      </w:r>
      <w:r>
        <w:t xml:space="preserve"> к настоящему ТЗ </w:t>
      </w:r>
      <w:r>
        <w:t xml:space="preserve">в производственные отделения филиалов </w:t>
      </w:r>
      <w:r>
        <w:t xml:space="preserve">П</w:t>
      </w:r>
      <w:r>
        <w:t xml:space="preserve">АО «</w:t>
      </w:r>
      <w:r>
        <w:t xml:space="preserve">Россети</w:t>
      </w:r>
      <w:r>
        <w:t xml:space="preserve"> Урал</w:t>
      </w:r>
      <w:r>
        <w:t xml:space="preserve">», согласно реквизитов Грузополучателей, указанных в приложении №</w:t>
      </w:r>
      <w:r>
        <w:t xml:space="preserve">3</w:t>
      </w:r>
      <w:r>
        <w:t xml:space="preserve"> к настоящему ТЗ, в установленные сроки. </w:t>
      </w:r>
      <w:r/>
    </w:p>
    <w:p>
      <w:pPr>
        <w:pStyle w:val="971"/>
        <w:numPr>
          <w:ilvl w:val="2"/>
          <w:numId w:val="20"/>
        </w:numPr>
        <w:ind w:left="0" w:firstLine="0"/>
        <w:jc w:val="both"/>
        <w:widowControl w:val="off"/>
      </w:pPr>
      <w:r>
        <w:t xml:space="preserve">Вместе с поставкой продукции должна быть предоставлена соответствующая техническая документация (паспорта, инструкции и пр.), копии сертификатов, заверенные Поставщиком. </w:t>
      </w:r>
      <w:r/>
    </w:p>
    <w:p>
      <w:pPr>
        <w:pStyle w:val="971"/>
        <w:numPr>
          <w:ilvl w:val="1"/>
          <w:numId w:val="20"/>
        </w:numPr>
        <w:jc w:val="both"/>
        <w:widowControl w:val="off"/>
        <w:tabs>
          <w:tab w:val="left" w:pos="426" w:leader="none"/>
        </w:tabs>
        <w:rPr>
          <w:b/>
        </w:rPr>
      </w:pPr>
      <w:r>
        <w:rPr>
          <w:b/>
        </w:rPr>
        <w:t xml:space="preserve">Требования, предъявляемые к продукции:</w:t>
      </w:r>
      <w:r>
        <w:rPr>
          <w:b/>
        </w:rPr>
      </w:r>
      <w:r>
        <w:rPr>
          <w:b/>
        </w:rPr>
      </w:r>
    </w:p>
    <w:p>
      <w:pPr>
        <w:pStyle w:val="971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</w:pPr>
      <w:r>
        <w:t xml:space="preserve"> </w:t>
      </w:r>
      <w:r>
        <w:t xml:space="preserve">Продукция, указанная в </w:t>
      </w:r>
      <w:r>
        <w:t xml:space="preserve">п</w:t>
      </w:r>
      <w:r>
        <w:t xml:space="preserve">риложении </w:t>
      </w:r>
      <w:r>
        <w:t xml:space="preserve">№</w:t>
      </w:r>
      <w:r>
        <w:t xml:space="preserve">4</w:t>
      </w:r>
      <w:r>
        <w:t xml:space="preserve"> к настоящему ТЗ </w:t>
      </w:r>
      <w:r>
        <w:t xml:space="preserve">по качеству должна соответствовать требованиям ГОСТ и ТУ, иметь сертификаты соответствия качества</w:t>
      </w:r>
      <w:r>
        <w:t xml:space="preserve"> завода-изготовителя, сертификаты соответствия Госстандарта России, декларации о соответствии, сертификаты происхождения, санитарно-эпидемиологические заключения, пожарные сертификаты, если продукция подлежит сертификации, паспорта на каждую партию продукц</w:t>
      </w:r>
      <w:r>
        <w:t xml:space="preserve">ии. Продукция не должна иметь дефектов, связанных с конструкцией, материалами или работоспособностью, либо скрытых дефектов, проявляющихся в результате действия Заказчика (использование продукции) при допустимой эксплуатации в условиях обычных для России. </w:t>
      </w:r>
      <w:r/>
    </w:p>
    <w:p>
      <w:pPr>
        <w:pStyle w:val="971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</w:pPr>
      <w:r>
        <w:t xml:space="preserve">Вся поставляемая продукция по техническим характеристикам должна соответствовать опросным листам, чертежам, приложенным к приложению </w:t>
      </w:r>
      <w:r>
        <w:t xml:space="preserve">№</w:t>
      </w:r>
      <w:r>
        <w:t xml:space="preserve">4</w:t>
      </w:r>
      <w:r>
        <w:t xml:space="preserve"> к настоящему ТЗ </w:t>
      </w:r>
      <w:r>
        <w:rPr>
          <w:rFonts w:eastAsia="Calibri"/>
          <w:lang w:eastAsia="en-US"/>
        </w:rPr>
        <w:t xml:space="preserve">(при условии их наличия в ТЗ)</w:t>
      </w:r>
      <w:r>
        <w:t xml:space="preserve">.</w:t>
      </w:r>
      <w:r/>
    </w:p>
    <w:p>
      <w:pPr>
        <w:pStyle w:val="971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</w:pPr>
      <w:r>
        <w:t xml:space="preserve">Участник имеет пр</w:t>
      </w:r>
      <w:r>
        <w:t xml:space="preserve">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</w:t>
      </w:r>
      <w:r>
        <w:t xml:space="preserve"> (при их наличии)</w:t>
      </w:r>
      <w:r>
        <w:t xml:space="preserve">. </w:t>
      </w:r>
      <w:r>
        <w:t xml:space="preserve">Решение о согласовании/не согласовании замены требуемой продукции аналогом принимается закупочной комиссией на этапе рассмотрения заявок Участников и отражается в соответствующем Протоколе.</w:t>
      </w:r>
      <w:r/>
    </w:p>
    <w:p>
      <w:pPr>
        <w:pStyle w:val="971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</w:pPr>
      <w:r>
        <w:t xml:space="preserve">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  <w:r/>
    </w:p>
    <w:p>
      <w:pPr>
        <w:pStyle w:val="971"/>
        <w:ind w:left="0"/>
        <w:jc w:val="both"/>
        <w:widowControl w:val="off"/>
        <w:tabs>
          <w:tab w:val="left" w:pos="567" w:leader="none"/>
        </w:tabs>
      </w:pPr>
      <w:r>
        <w:t xml:space="preserve">Поставляемые товары должны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</w:t>
      </w:r>
      <w:r/>
    </w:p>
    <w:p>
      <w:pPr>
        <w:pStyle w:val="971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</w:pPr>
      <w:r>
        <w:t xml:space="preserve">Продукция должна быть новой (ранее не использованной). </w:t>
      </w:r>
      <w:r>
        <w:t xml:space="preserve">Гарантийный срок на поставляемую продукцию</w:t>
      </w:r>
      <w:r>
        <w:t xml:space="preserve"> </w:t>
      </w:r>
      <w:r>
        <w:t xml:space="preserve">составляет</w:t>
      </w:r>
      <w:r>
        <w:rPr>
          <w:lang w:val="ru-RU"/>
        </w:rPr>
        <w:t xml:space="preserve"> </w:t>
      </w:r>
      <w:r>
        <w:t xml:space="preserve">180 суток (6 месяцев) и исчисляется с момента доставки продукции на склад Покупателя (Грузополучателя). </w:t>
      </w:r>
      <w:r>
        <w:t xml:space="preserve">Срок изготовления первой партии продукции не ранее сентября </w:t>
      </w:r>
      <w:r>
        <w:t xml:space="preserve">2026</w:t>
      </w:r>
      <w:r>
        <w:t xml:space="preserve"> года.</w:t>
      </w:r>
      <w:r/>
    </w:p>
    <w:p>
      <w:pPr>
        <w:pStyle w:val="971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</w:pPr>
      <w:r>
        <w:t xml:space="preserve">Технические требования к продукции:</w:t>
      </w:r>
      <w:r/>
    </w:p>
    <w:p>
      <w:pPr>
        <w:pStyle w:val="971"/>
        <w:numPr>
          <w:ilvl w:val="3"/>
          <w:numId w:val="20"/>
        </w:numPr>
        <w:ind w:left="0" w:firstLine="0"/>
        <w:jc w:val="both"/>
        <w:widowControl w:val="off"/>
        <w:tabs>
          <w:tab w:val="left" w:pos="567" w:leader="none"/>
        </w:tabs>
      </w:pPr>
      <w:r>
        <w:t xml:space="preserve">Продукция должна соответствовать государственным санитарно-эпидемиологическим пра</w:t>
      </w:r>
      <w:r>
        <w:t xml:space="preserve">вилам и нормам СанПиН 2.1.4.1116-02 «Питьевая вода. Гигиенические требования к качеству воды, расфасованной в емкости. Контроль качества», СП 1.1.1058-01 «Организация и проведение производственного контроля за соблюдением санитарных правил санитарно-эпидем</w:t>
      </w:r>
      <w:r>
        <w:t xml:space="preserve">иологических (профилактических) мероприятий», ТР ТС 021/2011 «О безопасности пищевой продукции», ТР ТС 022/2011 «Пищевая продукция в части ее маркировки», соответствовать всем показателям безопасности требованиям, ГОСТ, ТУ и иметь сертификаты соответствия.</w:t>
      </w:r>
      <w:r/>
    </w:p>
    <w:p>
      <w:pPr>
        <w:pStyle w:val="971"/>
        <w:numPr>
          <w:ilvl w:val="3"/>
          <w:numId w:val="20"/>
        </w:numPr>
        <w:ind w:left="0" w:firstLine="0"/>
        <w:jc w:val="both"/>
        <w:widowControl w:val="off"/>
        <w:tabs>
          <w:tab w:val="left" w:pos="567" w:leader="none"/>
        </w:tabs>
      </w:pPr>
      <w:r>
        <w:t xml:space="preserve">Одновременно с продукцией предоставляются сопроводительные документы, подтверж</w:t>
      </w:r>
      <w:r>
        <w:t xml:space="preserve">дающие соответствие продукции требованиям Покупателя (т.е. сертификаты Госстандарта России, санитарно-эпидемиологические сертификаты в случае, если продукция подлежит сертификации). Первая партия поставляемой воды должна быть разлита в тару не ранее чем в сентябре</w:t>
      </w:r>
      <w:r>
        <w:t xml:space="preserve"> 2026</w:t>
      </w:r>
      <w:r>
        <w:t xml:space="preserve"> </w:t>
      </w:r>
      <w:r>
        <w:t xml:space="preserve">года</w:t>
      </w:r>
      <w:r>
        <w:t xml:space="preserve">. Каждая следующая партия должна быть разлита в тару не ранее чем за 30 дней до даты отгрузки.</w:t>
      </w:r>
      <w:r/>
    </w:p>
    <w:p>
      <w:pPr>
        <w:pStyle w:val="971"/>
        <w:numPr>
          <w:ilvl w:val="3"/>
          <w:numId w:val="20"/>
        </w:numPr>
        <w:ind w:left="0" w:firstLine="0"/>
        <w:jc w:val="both"/>
        <w:widowControl w:val="off"/>
        <w:tabs>
          <w:tab w:val="left" w:pos="567" w:leader="none"/>
        </w:tabs>
      </w:pPr>
      <w:r>
        <w:t xml:space="preserve">Продукция должна поставляться в многооборотной таре – бутылях, изготовленных из полиэтилена (ГОСТ Р 51760-2011) емкостью 19л, пробка одноразовая, из пищевого полиэтилена. На упаковке должна быть указана дата розлива воды. </w:t>
      </w:r>
      <w:r>
        <w:t xml:space="preserve">Бутыли подлежат возврату Поставщику по мере их освобождения от воды в первоначальном состоянии с учетом их нормального износа</w:t>
      </w:r>
      <w:r>
        <w:t xml:space="preserve">.</w:t>
      </w:r>
      <w:r/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981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</w:rPr>
      </w:pPr>
      <w:r/>
      <w:bookmarkStart w:id="1" w:name="_Toc439063131"/>
      <w:r/>
      <w:bookmarkStart w:id="2" w:name="_Toc8120154"/>
      <w:r>
        <w:rPr>
          <w:rFonts w:eastAsia="SimSun"/>
          <w:szCs w:val="24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</w:rPr>
      </w:r>
      <w:r>
        <w:rPr>
          <w:rFonts w:eastAsia="SimSun"/>
          <w:szCs w:val="24"/>
        </w:rPr>
      </w:r>
    </w:p>
    <w:p>
      <w:pPr>
        <w:pStyle w:val="982"/>
        <w:numPr>
          <w:ilvl w:val="1"/>
          <w:numId w:val="20"/>
        </w:numPr>
      </w:pPr>
      <w:r>
        <w:t xml:space="preserve">Участник закупки должен соответствовать следующим обязательным требованиям (отборочные требования):</w:t>
      </w:r>
      <w:r/>
    </w:p>
    <w:p>
      <w:pPr>
        <w:pStyle w:val="983"/>
        <w:numPr>
          <w:ilvl w:val="0"/>
          <w:numId w:val="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highlight w:val="none"/>
          <w:lang w:eastAsia="ja-JP"/>
        </w:rPr>
        <w:t xml:space="preserve">2.1.1. </w:t>
      </w:r>
      <w:r>
        <w:rPr>
          <w:highlight w:val="none"/>
          <w:lang w:eastAsia="ja-JP"/>
        </w:rPr>
        <w:t xml:space="preserve">Техническое предложение участника закупки по поставке продукции должно соответствовать техническим требованиям, указанным в</w:t>
      </w:r>
      <w:r>
        <w:rPr>
          <w:highlight w:val="none"/>
          <w:lang w:eastAsia="ja-JP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Приложение №4 к Техническому заданию</w:t>
      </w:r>
      <w:r>
        <w:rPr>
          <w:highlight w:val="none"/>
        </w:rPr>
        <w:t xml:space="preserve">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983"/>
        <w:numPr>
          <w:ilvl w:val="0"/>
          <w:numId w:val="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  <w:t xml:space="preserve">2.1.2. Иметь в составе заявки комплект документов, перечисленный в п.3 </w:t>
      </w:r>
      <w:r>
        <w:rPr>
          <w:highlight w:val="none"/>
        </w:rPr>
        <w:t xml:space="preserve">настоящего </w:t>
      </w:r>
      <w:r>
        <w:rPr>
          <w:rFonts w:eastAsia="MS Mincho"/>
          <w:highlight w:val="none"/>
          <w:lang w:eastAsia="ja-JP"/>
        </w:rPr>
        <w:t xml:space="preserve">ТЗ.</w:t>
      </w:r>
      <w:r>
        <w:rPr>
          <w:rFonts w:eastAsia="MS Mincho"/>
          <w:highlight w:val="none"/>
        </w:rPr>
      </w:r>
      <w:r>
        <w:rPr>
          <w:rFonts w:eastAsia="MS Mincho"/>
          <w:highlight w:val="none"/>
        </w:rPr>
      </w:r>
    </w:p>
    <w:p>
      <w:pPr>
        <w:pStyle w:val="983"/>
        <w:numPr>
          <w:ilvl w:val="0"/>
          <w:numId w:val="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lang w:eastAsia="ja-JP"/>
        </w:rPr>
      </w:pPr>
      <w:r>
        <w:rPr>
          <w:highlight w:val="none"/>
        </w:rPr>
        <w:t xml:space="preserve">2.1.3. Участниками закупки могут быть любые лица, указанные в части 5 статьи 3 Федерального закона "О закупках товаров, работ, услуг отдельными видами юридических лиц", в т.ч. субъекты малого и среднего предпринимательства.</w:t>
      </w:r>
      <w:r/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83"/>
        <w:numPr>
          <w:ilvl w:val="0"/>
          <w:numId w:val="0"/>
        </w:numPr>
        <w:contextualSpacing/>
        <w:tabs>
          <w:tab w:val="left" w:pos="709" w:leader="none"/>
        </w:tabs>
      </w:pPr>
      <w:r/>
      <w:r/>
    </w:p>
    <w:p>
      <w:pPr>
        <w:pStyle w:val="981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</w:rPr>
      </w:r>
      <w:r>
        <w:rPr>
          <w:rFonts w:eastAsia="SimSun"/>
          <w:szCs w:val="24"/>
        </w:rPr>
      </w:r>
    </w:p>
    <w:p>
      <w:pPr>
        <w:pStyle w:val="983"/>
        <w:numPr>
          <w:ilvl w:val="1"/>
          <w:numId w:val="20"/>
        </w:numPr>
        <w:ind w:left="0" w:firstLine="0"/>
        <w:widowControl w:val="off"/>
        <w:tabs>
          <w:tab w:val="left" w:pos="0" w:leader="none"/>
        </w:tabs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Приложение №4 к Техническому заданию участника в формате </w:t>
      </w:r>
      <w:r>
        <w:rPr>
          <w:rFonts w:eastAsia="Calibri"/>
          <w:szCs w:val="24"/>
          <w:lang w:eastAsia="en-US"/>
        </w:rPr>
        <w:t xml:space="preserve">excel</w:t>
      </w:r>
      <w:r>
        <w:rPr>
          <w:rFonts w:eastAsia="Calibri"/>
          <w:szCs w:val="24"/>
          <w:lang w:eastAsia="en-US"/>
        </w:rPr>
        <w:t xml:space="preserve">, заполненное в соответствии с инструкцией по заполнению:</w: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</w:r>
    </w:p>
    <w:p>
      <w:pPr>
        <w:pStyle w:val="983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Приложение №4 к Техническому заданию заполняется строго по форме Заказчика, с обязательным заполнением столбцов, помеченных «*», с указанием гарантийного срока и соответствия технической части (пункты 1 и 2 под таблицей со знаком «*»).</w: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</w:r>
    </w:p>
    <w:p>
      <w:pPr>
        <w:pStyle w:val="983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  <w:lang w:eastAsia="en-US"/>
        </w:rPr>
      </w:r>
      <w:r>
        <w:rPr>
          <w:highlight w:val="none"/>
        </w:rPr>
      </w:r>
      <w:r>
        <w:rPr>
          <w:highlight w:val="none"/>
        </w:rPr>
        <w:t xml:space="preserve">У</w:t>
      </w:r>
      <w:r>
        <w:rPr>
          <w:highlight w:val="none"/>
        </w:rPr>
        <w:t xml:space="preserve">частник закупки рассчитывает Цену за единицу продукции, путём применения «Единого итогового коэффициента снижения Участника на виды продукции (0&lt;K≤1)» к «Цене за единицу продукции по оценке Заказчика». Отсутствие указания «Единого итогового коэффициента сн</w:t>
      </w:r>
      <w:r>
        <w:rPr>
          <w:highlight w:val="none"/>
        </w:rPr>
        <w:t xml:space="preserve">ижения Участника на виды продукции (0&lt;K≤1)», либо указание «Единого итогового коэффициента снижения Участника» равного 0 или превышающего 1 (единицу) является основанием для отклонения Заявки участника.</w:t>
      </w:r>
      <w:r/>
      <w:r>
        <w:rPr>
          <w:highlight w:val="none"/>
        </w:rPr>
      </w:r>
      <w:r>
        <w:rPr>
          <w:rFonts w:eastAsia="Calibri"/>
          <w:szCs w:val="24"/>
          <w:highlight w:val="none"/>
          <w:lang w:eastAsia="en-US"/>
        </w:rPr>
      </w:r>
      <w:r>
        <w:rPr>
          <w:rFonts w:eastAsia="Calibri"/>
          <w:highlight w:val="none"/>
        </w:rPr>
      </w:r>
    </w:p>
    <w:p>
      <w:pPr>
        <w:pStyle w:val="983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</w:r>
      <w:r>
        <w:rPr>
          <w:highlight w:val="none"/>
        </w:rPr>
        <w:t xml:space="preserve">П</w:t>
      </w:r>
      <w:r>
        <w:rPr>
          <w:highlight w:val="none"/>
        </w:rPr>
        <w:t xml:space="preserve">рименяемый «Единый итоговый коэффициент снижения Участника на виды продукции (0&lt;K≤1)» явля</w:t>
      </w:r>
      <w:r>
        <w:rPr>
          <w:highlight w:val="none"/>
        </w:rPr>
        <w:t xml:space="preserve">ет</w:t>
      </w:r>
      <w:r>
        <w:rPr>
          <w:highlight w:val="none"/>
        </w:rPr>
        <w:t xml:space="preserve">ся единым для всех видов продукции</w:t>
      </w:r>
      <w:r/>
      <w:r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</w:r>
    </w:p>
    <w:p>
      <w:pPr>
        <w:pStyle w:val="983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</w:r>
      <w:r>
        <w:rPr>
          <w:highlight w:val="none"/>
          <w:lang w:val="ru-RU"/>
        </w:rPr>
        <w:t xml:space="preserve">В столбце «</w:t>
      </w:r>
      <w:r>
        <w:rPr>
          <w:highlight w:val="none"/>
          <w:lang w:val="ru-RU"/>
        </w:rPr>
        <w:t xml:space="preserve">Ставка НДС, %</w:t>
      </w:r>
      <w:r>
        <w:rPr>
          <w:highlight w:val="none"/>
          <w:lang w:val="ru-RU"/>
        </w:rPr>
        <w:t xml:space="preserve">» Участник указывает размер применяемой ставки НДС в процентах (5, 10, 22 и пр.).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В случае применения упрощенной системы налогообложения (без НДС) в столбце </w:t>
      </w:r>
      <w:r>
        <w:rPr>
          <w:highlight w:val="none"/>
          <w:lang w:val="ru-RU"/>
        </w:rPr>
        <w:t xml:space="preserve">«</w:t>
      </w:r>
      <w:r>
        <w:rPr>
          <w:highlight w:val="none"/>
          <w:lang w:val="ru-RU"/>
        </w:rPr>
        <w:t xml:space="preserve">Ставка НДС, %</w:t>
      </w:r>
      <w:r>
        <w:rPr>
          <w:highlight w:val="none"/>
          <w:lang w:val="ru-RU"/>
        </w:rPr>
        <w:t xml:space="preserve">»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у</w:t>
      </w:r>
      <w:r>
        <w:rPr>
          <w:highlight w:val="none"/>
          <w:lang w:val="ru-RU"/>
        </w:rPr>
        <w:t xml:space="preserve">к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з</w:t>
      </w:r>
      <w:r>
        <w:rPr>
          <w:highlight w:val="none"/>
          <w:lang w:val="ru-RU"/>
        </w:rPr>
        <w:t xml:space="preserve">ы</w:t>
      </w:r>
      <w:r>
        <w:rPr>
          <w:highlight w:val="none"/>
          <w:lang w:val="ru-RU"/>
        </w:rPr>
        <w:t xml:space="preserve">в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0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о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б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ц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н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з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п</w:t>
      </w:r>
      <w:r>
        <w:rPr>
          <w:highlight w:val="none"/>
          <w:lang w:val="ru-RU"/>
        </w:rPr>
        <w:t xml:space="preserve">о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н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я</w:t>
      </w:r>
      <w:r/>
      <w:r>
        <w:rPr>
          <w:rFonts w:eastAsia="Calibri"/>
          <w:szCs w:val="24"/>
          <w:lang w:eastAsia="en-US"/>
        </w:rPr>
        <w:t xml:space="preserve">.</w: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</w:r>
    </w:p>
    <w:p>
      <w:pPr>
        <w:pStyle w:val="983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szCs w:val="24"/>
          <w:highlight w:val="none"/>
          <w:lang w:eastAsia="en-US"/>
        </w:rPr>
        <w:t xml:space="preserve">Не допускается изменять форму Приложения №4 к Техническому заданию</w:t>
      </w:r>
      <w:r/>
      <w:r>
        <w:rPr>
          <w:rFonts w:eastAsia="Calibri"/>
          <w:lang w:eastAsia="en-US"/>
        </w:rPr>
        <w:t xml:space="preserve">.</w: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</w:r>
    </w:p>
    <w:p>
      <w:pPr>
        <w:pStyle w:val="983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szCs w:val="24"/>
          <w:highlight w:val="none"/>
          <w:lang w:eastAsia="en-US"/>
        </w:rPr>
        <w:t xml:space="preserve">Не допускается изменять содержание, порядок строк и столбцов в таблице Приложения №4 к Техническому заданию</w:t>
      </w:r>
      <w:r/>
      <w:r>
        <w:rPr>
          <w:rFonts w:eastAsia="Calibri"/>
          <w:lang w:eastAsia="en-US"/>
        </w:rPr>
      </w:r>
      <w:r>
        <w:rPr>
          <w:rFonts w:eastAsia="Calibri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</w:r>
    </w:p>
    <w:p>
      <w:pPr>
        <w:pStyle w:val="983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highlight w:val="none"/>
          <w:lang w:eastAsia="en-US"/>
        </w:rPr>
        <w:t xml:space="preserve">В столбце «Наименование производителя, ИНН» указывается только 1 (один) </w:t>
      </w:r>
      <w:r>
        <w:rPr>
          <w:rFonts w:eastAsia="Calibri"/>
          <w:highlight w:val="none"/>
          <w:lang w:eastAsia="en-US"/>
        </w:rPr>
        <w:t xml:space="preserve">производите</w:t>
      </w:r>
      <w:r>
        <w:rPr>
          <w:rFonts w:eastAsia="Calibri"/>
          <w:highlight w:val="none"/>
          <w:lang w:eastAsia="en-US"/>
        </w:rPr>
        <w:t xml:space="preserve">ль продукции</w:t>
      </w:r>
      <w:r/>
      <w:r>
        <w:rPr>
          <w:rFonts w:eastAsia="Calibri"/>
          <w:lang w:eastAsia="en-US"/>
        </w:rPr>
        <w:t xml:space="preserve">.</w: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</w:r>
    </w:p>
    <w:p>
      <w:pPr>
        <w:pStyle w:val="983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highlight w:val="none"/>
          <w:lang w:eastAsia="en-US"/>
        </w:rPr>
        <w:t xml:space="preserve">В столбце «ГОСТ, технический регламент, Техусловия (ТУ) на изготовление» Участником указывается конкретный «ГОСТ, технический регламент, Технические условия (ТУ) на изготовление» по каждой номенклатурной позиции</w:t>
      </w:r>
      <w:r/>
      <w:r>
        <w:rPr>
          <w:rFonts w:eastAsia="Calibri"/>
          <w:lang w:eastAsia="en-US"/>
        </w:rPr>
      </w:r>
      <w:r>
        <w:rPr>
          <w:rFonts w:eastAsia="Calibri"/>
          <w:lang w:eastAsia="en-US"/>
        </w:rPr>
        <w:t xml:space="preserve">.</w: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</w:r>
    </w:p>
    <w:p>
      <w:pPr>
        <w:pStyle w:val="983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szCs w:val="24"/>
          <w:lang w:eastAsia="en-US"/>
        </w:rPr>
      </w:pPr>
      <w:r/>
      <w:r>
        <w:rPr>
          <w:rFonts w:eastAsia="Calibri"/>
          <w:highlight w:val="none"/>
          <w:lang w:eastAsia="en-US"/>
        </w:rPr>
        <w:t xml:space="preserve">В случае нарушения требований инструкции по заполнению (пп.3.1.1-</w:t>
      </w:r>
      <w:r>
        <w:rPr>
          <w:rFonts w:eastAsia="Calibri"/>
          <w:highlight w:val="none"/>
          <w:lang w:eastAsia="en-US"/>
        </w:rPr>
        <w:t xml:space="preserve">3.1.8</w:t>
      </w:r>
      <w:r>
        <w:rPr>
          <w:rFonts w:eastAsia="Calibri"/>
          <w:highlight w:val="none"/>
          <w:lang w:eastAsia="en-US"/>
        </w:rPr>
        <w:t xml:space="preserve"> настоящего приложения) заявка подлежит обязательному отклонению</w:t>
      </w:r>
      <w:r/>
      <w:r>
        <w:t xml:space="preserve">.</w:t>
      </w:r>
      <w:r>
        <w:rPr>
          <w:rFonts w:eastAsia="Calibri"/>
          <w:szCs w:val="24"/>
          <w:lang w:eastAsia="en-US"/>
        </w:rPr>
      </w:r>
      <w:r>
        <w:rPr>
          <w:rFonts w:eastAsia="Calibri"/>
          <w:szCs w:val="24"/>
          <w:lang w:eastAsia="en-US"/>
        </w:rPr>
      </w:r>
    </w:p>
    <w:p>
      <w:pPr>
        <w:pStyle w:val="983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lang w:eastAsia="en-US"/>
        </w:rPr>
      </w:pPr>
      <w:r>
        <w:rPr>
          <w:rFonts w:eastAsia="Calibri"/>
          <w:szCs w:val="24"/>
          <w:highlight w:val="none"/>
          <w:lang w:eastAsia="en-US"/>
        </w:rPr>
      </w:r>
      <w:r>
        <w:rPr>
          <w:rFonts w:eastAsia="Calibri"/>
          <w:highlight w:val="none"/>
          <w:lang w:eastAsia="en-US"/>
        </w:rPr>
        <w:t xml:space="preserve">Информация, указанная в Приложении № 4 к Техническому заданию </w:t>
      </w:r>
      <w:r>
        <w:rPr>
          <w:rFonts w:eastAsia="Calibri"/>
          <w:highlight w:val="none"/>
          <w:lang w:eastAsia="en-US"/>
        </w:rPr>
        <w:t xml:space="preserve">изменен</w:t>
      </w:r>
      <w:r>
        <w:rPr>
          <w:rFonts w:eastAsia="Calibri"/>
          <w:highlight w:val="none"/>
          <w:lang w:eastAsia="en-US"/>
        </w:rPr>
        <w:t xml:space="preserve">ию</w:t>
      </w:r>
      <w:r>
        <w:rPr>
          <w:rFonts w:eastAsia="Calibri"/>
          <w:highlight w:val="none"/>
          <w:lang w:eastAsia="en-US"/>
        </w:rPr>
        <w:t xml:space="preserve"> не подлежит.</w:t>
      </w:r>
      <w:r/>
      <w:r>
        <w:rPr>
          <w:rFonts w:eastAsia="Calibri"/>
          <w:szCs w:val="24"/>
          <w:highlight w:val="none"/>
          <w:lang w:eastAsia="en-US"/>
        </w:rPr>
      </w:r>
      <w:r>
        <w:rPr>
          <w:rFonts w:eastAsia="Calibri"/>
          <w:szCs w:val="24"/>
          <w:highlight w:val="none"/>
          <w:lang w:eastAsia="en-US"/>
        </w:rPr>
      </w:r>
    </w:p>
    <w:p>
      <w:pPr>
        <w:pStyle w:val="983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lang w:eastAsia="en-US"/>
        </w:rPr>
      </w:pPr>
      <w:r>
        <w:rPr>
          <w:rFonts w:eastAsia="Calibri"/>
          <w:szCs w:val="24"/>
          <w:highlight w:val="none"/>
          <w:lang w:eastAsia="en-US"/>
        </w:rPr>
      </w:r>
      <w:r>
        <w:rPr>
          <w:highlight w:val="none"/>
        </w:rPr>
        <w:t xml:space="preserve">Не заполнение Участником закупки столбцов, не помеченных «*» в приложении №</w:t>
      </w:r>
      <w:r>
        <w:rPr>
          <w:rFonts w:eastAsia="Calibri"/>
          <w:highlight w:val="none"/>
          <w:lang w:eastAsia="en-US"/>
        </w:rPr>
        <w:t xml:space="preserve"> 4 к Техническому заданию</w:t>
      </w:r>
      <w:r>
        <w:rPr>
          <w:highlight w:val="none"/>
        </w:rPr>
        <w:t xml:space="preserve">, не является основанием для отклонения заявки Участника.</w:t>
      </w:r>
      <w:r/>
      <w:r>
        <w:rPr>
          <w:rFonts w:eastAsia="Calibri"/>
          <w:szCs w:val="24"/>
          <w:highlight w:val="none"/>
          <w:lang w:eastAsia="en-US"/>
        </w:rPr>
      </w:r>
      <w:r>
        <w:rPr>
          <w:rFonts w:eastAsia="Calibri"/>
          <w:szCs w:val="24"/>
          <w:highlight w:val="none"/>
          <w:lang w:eastAsia="en-US"/>
        </w:rPr>
      </w:r>
    </w:p>
    <w:p>
      <w:pPr>
        <w:pStyle w:val="971"/>
        <w:numPr>
          <w:ilvl w:val="0"/>
          <w:numId w:val="20"/>
        </w:numPr>
        <w:ind w:left="0" w:firstLine="0"/>
        <w:keepLines/>
        <w:spacing w:before="120" w:after="120"/>
        <w:rPr>
          <w:b/>
        </w:rPr>
      </w:pPr>
      <w:r>
        <w:rPr>
          <w:b/>
        </w:rPr>
        <w:t xml:space="preserve">Выбор победителя закупки</w:t>
      </w:r>
      <w:r>
        <w:rPr>
          <w:b/>
        </w:rPr>
      </w:r>
      <w:r>
        <w:rPr>
          <w:b/>
        </w:rPr>
      </w:r>
    </w:p>
    <w:p>
      <w:pPr>
        <w:pStyle w:val="965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Единственным критерием для определения Победителя является наименьшая суммарная стоимость единичных расценок при условии соответствия самой заявки условиям сравнения цен.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965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Если Правительством Российской Федерации в соответствии с законодательством о порядке примене</w:t>
      </w:r>
      <w:r>
        <w:rPr>
          <w:rFonts w:eastAsia="Calibri"/>
          <w:lang w:eastAsia="en-US"/>
        </w:rPr>
        <w:t xml:space="preserve">ния национального режима установлено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а) при рассмот</w:t>
      </w:r>
      <w:r>
        <w:rPr>
          <w:rFonts w:eastAsia="Calibri"/>
          <w:lang w:eastAsia="en-US"/>
        </w:rPr>
        <w:t xml:space="preserve">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поставке товар </w:t>
      </w:r>
      <w:r>
        <w:rPr>
          <w:rFonts w:eastAsia="Calibri"/>
          <w:lang w:eastAsia="en-US"/>
        </w:rPr>
        <w:t xml:space="preserve">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65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jc w:val="both"/>
        <w:rPr>
          <w:rStyle w:val="980"/>
          <w:rFonts w:ascii="Times New Roman" w:hAnsi="Times New Roman" w:cs="Times New Roman"/>
          <w:b/>
          <w:i/>
          <w:color w:val="auto"/>
        </w:rPr>
      </w:pPr>
      <w:r>
        <w:rPr>
          <w:rFonts w:ascii="Times New Roman" w:hAnsi="Times New Roman" w:cs="Times New Roman"/>
          <w:b/>
          <w:i/>
          <w:color w:val="auto"/>
        </w:rPr>
      </w:r>
      <w:r>
        <w:rPr>
          <w:rStyle w:val="980"/>
          <w:rFonts w:ascii="Times New Roman" w:hAnsi="Times New Roman" w:cs="Times New Roman"/>
          <w:b/>
          <w:i/>
          <w:color w:val="auto"/>
        </w:rPr>
      </w:r>
      <w:r>
        <w:rPr>
          <w:rStyle w:val="980"/>
          <w:rFonts w:ascii="Times New Roman" w:hAnsi="Times New Roman" w:cs="Times New Roman"/>
          <w:b/>
          <w:i/>
          <w:color w:val="auto"/>
        </w:rPr>
      </w:r>
    </w:p>
    <w:p>
      <w:pPr>
        <w:pStyle w:val="971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>
        <w:rPr>
          <w:rStyle w:val="980"/>
          <w:rFonts w:ascii="Times New Roman" w:hAnsi="Times New Roman" w:cs="Times New Roman"/>
          <w:b/>
          <w:i/>
          <w:color w:val="auto"/>
        </w:rPr>
        <w:t xml:space="preserve">Приложение 1 (</w:t>
      </w:r>
      <w:r>
        <w:rPr>
          <w:rStyle w:val="980"/>
          <w:rFonts w:ascii="Times New Roman" w:hAnsi="Times New Roman" w:cs="Times New Roman"/>
          <w:i/>
          <w:color w:val="auto"/>
        </w:rPr>
        <w:t xml:space="preserve">обязательное</w:t>
      </w:r>
      <w:bookmarkEnd w:id="1"/>
      <w:r/>
      <w:bookmarkEnd w:id="2"/>
      <w:r>
        <w:rPr>
          <w:rStyle w:val="980"/>
          <w:rFonts w:ascii="Times New Roman" w:hAnsi="Times New Roman" w:cs="Times New Roman"/>
          <w:i/>
          <w:color w:val="auto"/>
        </w:rPr>
        <w:t xml:space="preserve">). </w:t>
      </w:r>
      <w:r>
        <w:t xml:space="preserve"> </w:t>
      </w:r>
      <w:r>
        <w:t xml:space="preserve">Обоснование начальной (максимальной) цены договора (форма).</w:t>
      </w:r>
      <w:r/>
    </w:p>
    <w:p>
      <w:pPr>
        <w:jc w:val="both"/>
      </w:pPr>
      <w:r/>
      <w:bookmarkStart w:id="3" w:name="_Toc8120155"/>
      <w:r>
        <w:rPr>
          <w:rStyle w:val="980"/>
          <w:rFonts w:ascii="Times New Roman" w:hAnsi="Times New Roman" w:cs="Times New Roman"/>
          <w:b/>
          <w:i/>
          <w:color w:val="auto"/>
        </w:rPr>
        <w:t xml:space="preserve">Приложение 2</w:t>
      </w:r>
      <w:r>
        <w:rPr>
          <w:rStyle w:val="980"/>
          <w:rFonts w:ascii="Times New Roman" w:hAnsi="Times New Roman" w:cs="Times New Roman"/>
          <w:i/>
          <w:color w:val="auto"/>
        </w:rPr>
        <w:t xml:space="preserve"> </w:t>
      </w:r>
      <w:r>
        <w:rPr>
          <w:rStyle w:val="980"/>
          <w:rFonts w:ascii="Times New Roman" w:hAnsi="Times New Roman" w:cs="Times New Roman"/>
          <w:b/>
          <w:i/>
          <w:color w:val="auto"/>
        </w:rPr>
        <w:t xml:space="preserve">(</w:t>
      </w:r>
      <w:r>
        <w:rPr>
          <w:rStyle w:val="980"/>
          <w:rFonts w:ascii="Times New Roman" w:hAnsi="Times New Roman" w:cs="Times New Roman"/>
          <w:i/>
          <w:color w:val="auto"/>
        </w:rPr>
        <w:t xml:space="preserve">обязательное). </w:t>
      </w:r>
      <w:bookmarkEnd w:id="3"/>
      <w:r>
        <w:t xml:space="preserve">Проект договора (форма). </w:t>
      </w:r>
      <w:r/>
    </w:p>
    <w:p>
      <w:pPr>
        <w:pStyle w:val="971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>
        <w:rPr>
          <w:rStyle w:val="980"/>
          <w:rFonts w:ascii="Times New Roman" w:hAnsi="Times New Roman" w:cs="Times New Roman"/>
          <w:b/>
          <w:i/>
          <w:color w:val="auto"/>
        </w:rPr>
        <w:t xml:space="preserve">Приложение 3 </w:t>
      </w:r>
      <w:r>
        <w:rPr>
          <w:rStyle w:val="980"/>
          <w:rFonts w:ascii="Times New Roman" w:hAnsi="Times New Roman" w:cs="Times New Roman"/>
          <w:i/>
          <w:color w:val="auto"/>
        </w:rPr>
        <w:t xml:space="preserve">(обязательное). </w:t>
      </w:r>
      <w:r>
        <w:t xml:space="preserve">Реквизиты грузополучателей.</w:t>
      </w:r>
      <w:r/>
    </w:p>
    <w:p>
      <w:pPr>
        <w:jc w:val="both"/>
        <w:tabs>
          <w:tab w:val="left" w:pos="993" w:leader="none"/>
        </w:tabs>
        <w:rPr>
          <w:highlight w:val="none"/>
        </w:rPr>
      </w:pPr>
      <w:r>
        <w:rPr>
          <w:rStyle w:val="980"/>
          <w:rFonts w:ascii="Times New Roman" w:hAnsi="Times New Roman" w:cs="Times New Roman"/>
          <w:b/>
          <w:i/>
          <w:color w:val="auto"/>
        </w:rPr>
        <w:t xml:space="preserve">Приложение 4 </w:t>
      </w:r>
      <w:r>
        <w:rPr>
          <w:rStyle w:val="980"/>
          <w:rFonts w:ascii="Times New Roman" w:hAnsi="Times New Roman" w:cs="Times New Roman"/>
          <w:i/>
          <w:color w:val="auto"/>
        </w:rPr>
        <w:t xml:space="preserve">(обязательное). </w:t>
      </w:r>
      <w:r>
        <w:t xml:space="preserve">Предложение о цене договора</w:t>
      </w:r>
      <w:r>
        <w:t xml:space="preserve"> </w:t>
      </w:r>
      <w:r>
        <w:rPr>
          <w:rFonts w:eastAsia="Calibri"/>
          <w:lang w:eastAsia="en-US"/>
        </w:rPr>
        <w:t xml:space="preserve">в формате </w:t>
      </w:r>
      <w:r>
        <w:rPr>
          <w:rFonts w:eastAsia="Calibri"/>
          <w:lang w:val="en-US" w:eastAsia="en-US"/>
        </w:rPr>
        <w:t xml:space="preserve">excel</w:t>
      </w:r>
      <w:r>
        <w:t xml:space="preserve"> (форма).</w:t>
      </w:r>
      <w:r>
        <w:rPr>
          <w:i/>
        </w:rPr>
        <w:t xml:space="preserve"> </w:t>
      </w:r>
      <w:bookmarkStart w:id="4" w:name="_Toc536483690"/>
      <w:r/>
      <w:bookmarkStart w:id="5" w:name="_Toc536628829"/>
      <w:r/>
      <w:bookmarkStart w:id="6" w:name="_Toc2757058"/>
      <w:r/>
      <w:bookmarkEnd w:id="4"/>
      <w:r/>
      <w:bookmarkEnd w:id="5"/>
      <w:r/>
      <w:bookmarkEnd w:id="6"/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993" w:leader="none"/>
        </w:tabs>
        <w:rPr>
          <w:bCs w:val="0"/>
          <w:i w:val="0"/>
        </w:rPr>
      </w:pPr>
      <w:r>
        <w:rPr>
          <w:highlight w:val="none"/>
        </w:rPr>
      </w:r>
      <w:r>
        <w:rPr>
          <w:rStyle w:val="980"/>
          <w:rFonts w:ascii="Times New Roman" w:hAnsi="Times New Roman" w:cs="Times New Roman"/>
          <w:b/>
          <w:i/>
          <w:color w:val="auto"/>
        </w:rPr>
        <w:t xml:space="preserve">Приложение </w:t>
      </w:r>
      <w:r>
        <w:rPr>
          <w:rStyle w:val="980"/>
          <w:rFonts w:ascii="Times New Roman" w:hAnsi="Times New Roman" w:cs="Times New Roman"/>
          <w:b/>
          <w:i/>
          <w:color w:val="auto"/>
        </w:rPr>
        <w:t xml:space="preserve">5</w:t>
      </w:r>
      <w:r>
        <w:rPr>
          <w:rStyle w:val="980"/>
          <w:rFonts w:ascii="Times New Roman" w:hAnsi="Times New Roman" w:cs="Times New Roman"/>
          <w:b/>
          <w:i/>
          <w:color w:val="auto"/>
        </w:rPr>
        <w:t xml:space="preserve"> </w:t>
      </w:r>
      <w:r>
        <w:rPr>
          <w:rStyle w:val="980"/>
          <w:rFonts w:ascii="Times New Roman" w:hAnsi="Times New Roman" w:cs="Times New Roman"/>
          <w:i/>
          <w:color w:val="auto"/>
        </w:rPr>
        <w:t xml:space="preserve">(обязательное)</w:t>
      </w:r>
      <w:r>
        <w:rPr>
          <w:rStyle w:val="980"/>
          <w:rFonts w:ascii="Times New Roman" w:hAnsi="Times New Roman" w:cs="Times New Roman"/>
          <w:i/>
          <w:color w:val="auto"/>
        </w:rPr>
        <w:t xml:space="preserve">. </w:t>
      </w:r>
      <w:r>
        <w:rPr>
          <w:rStyle w:val="980"/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Ориентировочное количество продукции.</w:t>
      </w:r>
      <w:r>
        <w:rPr>
          <w:bCs w:val="0"/>
          <w:i w:val="0"/>
        </w:rPr>
      </w:r>
      <w:r>
        <w:rPr>
          <w:bCs w:val="0"/>
          <w:i w:val="0"/>
        </w:rPr>
      </w:r>
    </w:p>
    <w:p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ind w:right="76"/>
        <w:jc w:val="both"/>
        <w:rPr>
          <w:highlight w:val="none"/>
        </w:rPr>
      </w:pPr>
      <w:r>
        <w:rPr>
          <w:b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Cs/>
        </w:rPr>
      </w:r>
      <w:r>
        <w:rPr>
          <w:highlight w:val="none"/>
        </w:rPr>
      </w:r>
    </w:p>
    <w:p>
      <w:pPr>
        <w:ind w:right="76"/>
        <w:jc w:val="both"/>
      </w:pPr>
      <w:r/>
      <w:r/>
    </w:p>
    <w:p>
      <w:pPr>
        <w:jc w:val="left"/>
        <w:rPr>
          <w:b w:val="0"/>
          <w:bCs w:val="0"/>
          <w:highlight w:val="none"/>
        </w:rPr>
      </w:pPr>
      <w:r>
        <w:rPr>
          <w:highlight w:val="none"/>
        </w:rPr>
        <w:t xml:space="preserve">Техническое задани</w:t>
      </w:r>
      <w:r>
        <w:rPr>
          <w:b w:val="0"/>
          <w:bCs w:val="0"/>
          <w:highlight w:val="none"/>
        </w:rPr>
        <w:t xml:space="preserve">е с</w:t>
      </w:r>
      <w:r>
        <w:rPr>
          <w:b w:val="0"/>
          <w:bCs w:val="0"/>
          <w:highlight w:val="none"/>
        </w:rPr>
        <w:t xml:space="preserve">оставил:</w:t>
      </w:r>
      <w:r>
        <w:rPr>
          <w:b w:val="0"/>
          <w:bCs w:val="0"/>
          <w:highlight w:val="none"/>
        </w:rPr>
        <w:tab/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jc w:val="left"/>
        <w:rPr>
          <w:highlight w:val="none"/>
        </w:rPr>
      </w:pPr>
      <w:r>
        <w:rPr>
          <w:b w:val="0"/>
          <w:bCs w:val="0"/>
          <w:highlight w:val="none"/>
        </w:rPr>
      </w:r>
      <w:r>
        <w:rPr>
          <w:b/>
          <w:highlight w:val="none"/>
        </w:rPr>
        <w:tab/>
      </w:r>
      <w:r>
        <w:rPr>
          <w:highlight w:val="none"/>
        </w:rPr>
      </w:r>
      <w:r>
        <w:rPr>
          <w:highlight w:val="none"/>
        </w:rPr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3045"/>
      </w:tblGrid>
      <w:tr>
        <w:tblPrEx/>
        <w:trPr>
          <w:cantSplit/>
          <w:trHeight w:val="3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Фамилия, инициалы</w:t>
            </w:r>
            <w:r>
              <w:rPr>
                <w:b/>
                <w:sz w:val="20"/>
                <w:szCs w:val="20"/>
                <w:highlight w:val="none"/>
              </w:rPr>
            </w:r>
            <w:r>
              <w:rPr>
                <w:b/>
                <w:sz w:val="20"/>
                <w:szCs w:val="20"/>
                <w:highlight w:val="none"/>
              </w:rPr>
            </w:r>
          </w:p>
        </w:tc>
      </w:tr>
      <w:tr>
        <w:tblPrEx/>
        <w:trPr>
          <w:cantSplit/>
          <w:trHeight w:val="5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3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Главный эксперт ГХО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45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Кушнарёв А.Г.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</w:tbl>
    <w:p>
      <w:pPr>
        <w:ind w:right="76"/>
        <w:jc w:val="both"/>
      </w:pP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left="5387"/>
        <w:pageBreakBefore/>
        <w:rPr>
          <w:bCs/>
        </w:rPr>
      </w:pPr>
      <w:r>
        <w:t xml:space="preserve">Приложение 1 к Техническому заданию (обязательное)</w:t>
      </w:r>
      <w:r>
        <w:rPr>
          <w:bCs/>
        </w:rPr>
      </w:r>
      <w:r>
        <w:rPr>
          <w:bCs/>
        </w:rPr>
      </w:r>
    </w:p>
    <w:p>
      <w:pPr>
        <w:pStyle w:val="992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2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</w:rPr>
        <w:pBdr>
          <w:bottom w:val="single" w:color="000000" w:sz="12" w:space="1"/>
        </w:pBdr>
        <w:outlineLvl w:val="1"/>
      </w:pPr>
      <w:r>
        <w:rPr>
          <w:sz w:val="28"/>
          <w:szCs w:val="28"/>
        </w:rPr>
        <w:t xml:space="preserve">Обоснование начальной (максимальной) цены договора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</w:rPr>
        <w:pBdr>
          <w:bottom w:val="single" w:color="000000" w:sz="12" w:space="1"/>
        </w:pBdr>
        <w:outlineLvl w:val="1"/>
      </w:pPr>
      <w:r>
        <w:rPr>
          <w:sz w:val="28"/>
          <w:szCs w:val="28"/>
        </w:rPr>
        <w:t xml:space="preserve">на поставку </w:t>
      </w:r>
      <w:r>
        <w:rPr>
          <w:sz w:val="28"/>
          <w:szCs w:val="28"/>
        </w:rPr>
        <w:t xml:space="preserve">питьевой воды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center"/>
        <w:spacing w:after="274" w:line="343" w:lineRule="atLeast"/>
        <w:shd w:val="clear" w:color="auto" w:fill="ffffff"/>
        <w:rPr>
          <w:sz w:val="28"/>
          <w:szCs w:val="28"/>
        </w:rPr>
        <w:outlineLvl w:val="1"/>
      </w:pPr>
      <w:r>
        <w:rPr>
          <w:sz w:val="28"/>
          <w:szCs w:val="28"/>
        </w:rPr>
        <w:t xml:space="preserve">(указывается предмет закупки)</w:t>
      </w:r>
      <w:bookmarkStart w:id="7" w:name="l152"/>
      <w:r/>
      <w:bookmarkEnd w:id="7"/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094"/>
        <w:gridCol w:w="5095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/>
            <w:bookmarkStart w:id="8" w:name="l55"/>
            <w:r/>
            <w:bookmarkEnd w:id="8"/>
            <w:r>
              <w:rPr>
                <w:sz w:val="28"/>
                <w:szCs w:val="28"/>
              </w:rPr>
              <w:t xml:space="preserve">Начальная (максимальная) цена договора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265 077,52</w:t>
            </w:r>
            <w:r>
              <w:rPr>
                <w:sz w:val="28"/>
                <w:szCs w:val="28"/>
              </w:rPr>
              <w:t xml:space="preserve"> руб. с НДС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9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Рыночных цен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ЕСЗ (Единый Стандарт закупок)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</w:t>
            </w:r>
            <w:r>
              <w:rPr>
                <w:sz w:val="28"/>
                <w:szCs w:val="28"/>
              </w:rPr>
              <w:t xml:space="preserve">1.1 к ТЗ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</w:tbl>
    <w:p>
      <w:pPr>
        <w:ind w:firstLine="851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r/>
      <w:r/>
    </w:p>
    <w:p>
      <w:pPr>
        <w:ind w:right="76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num" w:pos="0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tabs>
          <w:tab w:val="num" w:pos="0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sectPr>
      <w:footnotePr/>
      <w:endnotePr/>
      <w:type w:val="nextPage"/>
      <w:pgSz w:w="11906" w:h="16838" w:orient="portrait"/>
      <w:pgMar w:top="851" w:right="567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imSun">
    <w:panose1 w:val="02010600030101010101"/>
  </w:font>
  <w:font w:name="MS Mincho">
    <w:panose1 w:val="020B06090702050802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7</w:t>
    </w:r>
    <w:r>
      <w:fldChar w:fldCharType="end"/>
    </w:r>
    <w:r/>
  </w:p>
  <w:p>
    <w:pPr>
      <w:pStyle w:val="975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rPr>
        <w:rStyle w:val="977"/>
      </w:rPr>
      <w:framePr w:wrap="around" w:vAnchor="text" w:hAnchor="margin" w:xAlign="center" w:y="1"/>
    </w:pPr>
    <w:r>
      <w:rPr>
        <w:rStyle w:val="977"/>
      </w:rPr>
      <w:fldChar w:fldCharType="begin"/>
    </w:r>
    <w:r>
      <w:rPr>
        <w:rStyle w:val="977"/>
      </w:rPr>
      <w:instrText xml:space="preserve">PAGE  </w:instrText>
    </w:r>
    <w:r>
      <w:rPr>
        <w:rStyle w:val="977"/>
      </w:rPr>
      <w:fldChar w:fldCharType="end"/>
    </w:r>
    <w:r>
      <w:rPr>
        <w:rStyle w:val="977"/>
      </w:rPr>
    </w:r>
    <w:r>
      <w:rPr>
        <w:rStyle w:val="977"/>
      </w:rPr>
    </w:r>
  </w:p>
  <w:p>
    <w:pPr>
      <w:pStyle w:val="97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93"/>
        <w:jc w:val="both"/>
      </w:pPr>
      <w:r>
        <w:rPr>
          <w:rStyle w:val="995"/>
        </w:rPr>
        <w:footnoteRef/>
      </w:r>
      <w:r>
        <w:t xml:space="preserve"> В</w:t>
      </w:r>
      <w:r>
        <w:t xml:space="preserve"> случае заключения договора по результатам закупки с субъектом малого и среднего предпринимательства максимальный срок оплаты должен составлять не более 7 (семи) рабочих дней.</w:t>
      </w:r>
      <w:r/>
    </w:p>
    <w:p>
      <w:pPr>
        <w:pStyle w:val="993"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Arial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styleLink w:val="984"/>
    <w:lvl w:ilvl="0">
      <w:start w:val="1"/>
      <w:numFmt w:val="decimal"/>
      <w:pStyle w:val="981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982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983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985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986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987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988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2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8"/>
      <w:numFmt w:val="decimal"/>
      <w:isLgl w:val="false"/>
      <w:suff w:val="tab"/>
      <w:lvlText w:val="%1.%2."/>
      <w:lvlJc w:val="left"/>
      <w:pPr>
        <w:ind w:left="824" w:hanging="54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suff w:val="tab"/>
      <w:lvlText w:val="%1.%2."/>
      <w:lvlJc w:val="left"/>
      <w:pPr>
        <w:ind w:left="1249" w:hanging="540"/>
      </w:pPr>
      <w:rPr>
        <w:rFonts w:hint="default"/>
        <w:b w:val="0"/>
      </w:rPr>
    </w:lvl>
    <w:lvl w:ilvl="2">
      <w:start w:val="2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29">
    <w:multiLevelType w:val="hybridMultilevel"/>
    <w:numStyleLink w:val="984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2"/>
  </w:num>
  <w:num w:numId="4">
    <w:abstractNumId w:val="6"/>
  </w:num>
  <w:num w:numId="5">
    <w:abstractNumId w:val="25"/>
  </w:num>
  <w:num w:numId="6">
    <w:abstractNumId w:val="20"/>
  </w:num>
  <w:num w:numId="7">
    <w:abstractNumId w:val="17"/>
  </w:num>
  <w:num w:numId="8">
    <w:abstractNumId w:val="3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6"/>
  </w:num>
  <w:num w:numId="12">
    <w:abstractNumId w:val="19"/>
  </w:num>
  <w:num w:numId="13">
    <w:abstractNumId w:val="2"/>
  </w:num>
  <w:num w:numId="14">
    <w:abstractNumId w:val="3"/>
  </w:num>
  <w:num w:numId="15">
    <w:abstractNumId w:val="16"/>
  </w:num>
  <w:num w:numId="16">
    <w:abstractNumId w:val="24"/>
  </w:num>
  <w:num w:numId="17">
    <w:abstractNumId w:val="4"/>
  </w:num>
  <w:num w:numId="18">
    <w:abstractNumId w:val="23"/>
  </w:num>
  <w:num w:numId="19">
    <w:abstractNumId w:val="5"/>
  </w:num>
  <w:num w:numId="20">
    <w:abstractNumId w:val="27"/>
  </w:num>
  <w:num w:numId="21">
    <w:abstractNumId w:val="12"/>
  </w:num>
  <w:num w:numId="22">
    <w:abstractNumId w:val="13"/>
  </w:num>
  <w:num w:numId="23">
    <w:abstractNumId w:val="28"/>
  </w:num>
  <w:num w:numId="24">
    <w:abstractNumId w:val="18"/>
  </w:num>
  <w:num w:numId="25">
    <w:abstractNumId w:val="8"/>
  </w:num>
  <w:num w:numId="26">
    <w:abstractNumId w:val="10"/>
  </w:num>
  <w:num w:numId="27">
    <w:abstractNumId w:val="29"/>
    <w:lvlOverride w:ilvl="0">
      <w:lvl w:ilvl="0">
        <w:start w:val="1"/>
        <w:numFmt w:val="decimal"/>
        <w:pStyle w:val="981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982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983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985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986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987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988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30"/>
  </w:num>
  <w:num w:numId="31">
    <w:abstractNumId w:val="7"/>
  </w:num>
  <w:num w:numId="32">
    <w:abstractNumId w:val="0"/>
  </w:num>
  <w:num w:numId="33">
    <w:abstractNumId w:val="21"/>
  </w:num>
  <w:num w:numId="34">
    <w:abstractNumId w:val="29"/>
    <w:lvlOverride w:ilvl="0">
      <w:startOverride w:val="1"/>
      <w:lvl w:ilvl="0">
        <w:start w:val="1"/>
        <w:numFmt w:val="decimal"/>
        <w:pStyle w:val="981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982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35">
    <w:abstractNumId w:val="32"/>
  </w:num>
  <w:num w:numId="36">
    <w:abstractNumId w:val="33"/>
  </w:num>
  <w:num w:numId="37">
    <w:abstractNumId w:val="34"/>
  </w:num>
  <w:num w:numId="38">
    <w:abstractNumId w:val="35"/>
  </w:num>
  <w:num w:numId="39">
    <w:abstractNumId w:val="36"/>
  </w:num>
  <w:num w:numId="40">
    <w:abstractNumId w:val="37"/>
  </w:num>
  <w:num w:numId="41">
    <w:abstractNumId w:val="38"/>
  </w:num>
  <w:num w:numId="42">
    <w:abstractNumId w:val="39"/>
  </w:num>
  <w:num w:numId="43">
    <w:abstractNumId w:val="40"/>
  </w:num>
  <w:num w:numId="44">
    <w:abstractNumId w:val="41"/>
  </w:num>
  <w:num w:numId="45">
    <w:abstractNumId w:val="42"/>
  </w:num>
  <w:num w:numId="46">
    <w:abstractNumId w:val="43"/>
  </w:num>
  <w:num w:numId="47">
    <w:abstractNumId w:val="44"/>
  </w:num>
  <w:num w:numId="48">
    <w:abstractNumId w:val="45"/>
  </w:num>
  <w:num w:numId="49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80">
    <w:name w:val="Heading 1 Char"/>
    <w:basedOn w:val="952"/>
    <w:link w:val="948"/>
    <w:uiPriority w:val="9"/>
    <w:rPr>
      <w:rFonts w:ascii="Arial" w:hAnsi="Arial" w:eastAsia="Arial" w:cs="Arial"/>
      <w:sz w:val="40"/>
      <w:szCs w:val="40"/>
    </w:rPr>
  </w:style>
  <w:style w:type="character" w:styleId="781">
    <w:name w:val="Heading 2 Char"/>
    <w:basedOn w:val="952"/>
    <w:link w:val="949"/>
    <w:uiPriority w:val="9"/>
    <w:rPr>
      <w:rFonts w:ascii="Arial" w:hAnsi="Arial" w:eastAsia="Arial" w:cs="Arial"/>
      <w:sz w:val="34"/>
    </w:rPr>
  </w:style>
  <w:style w:type="character" w:styleId="782">
    <w:name w:val="Heading 3 Char"/>
    <w:basedOn w:val="952"/>
    <w:link w:val="950"/>
    <w:uiPriority w:val="9"/>
    <w:rPr>
      <w:rFonts w:ascii="Arial" w:hAnsi="Arial" w:eastAsia="Arial" w:cs="Arial"/>
      <w:sz w:val="30"/>
      <w:szCs w:val="30"/>
    </w:rPr>
  </w:style>
  <w:style w:type="paragraph" w:styleId="783">
    <w:name w:val="Heading 4"/>
    <w:basedOn w:val="947"/>
    <w:next w:val="947"/>
    <w:link w:val="78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4">
    <w:name w:val="Heading 4 Char"/>
    <w:basedOn w:val="952"/>
    <w:link w:val="783"/>
    <w:uiPriority w:val="9"/>
    <w:rPr>
      <w:rFonts w:ascii="Arial" w:hAnsi="Arial" w:eastAsia="Arial" w:cs="Arial"/>
      <w:b/>
      <w:bCs/>
      <w:sz w:val="26"/>
      <w:szCs w:val="26"/>
    </w:rPr>
  </w:style>
  <w:style w:type="character" w:styleId="785">
    <w:name w:val="Heading 5 Char"/>
    <w:basedOn w:val="952"/>
    <w:link w:val="951"/>
    <w:uiPriority w:val="9"/>
    <w:rPr>
      <w:rFonts w:ascii="Arial" w:hAnsi="Arial" w:eastAsia="Arial" w:cs="Arial"/>
      <w:b/>
      <w:bCs/>
      <w:sz w:val="24"/>
      <w:szCs w:val="24"/>
    </w:rPr>
  </w:style>
  <w:style w:type="paragraph" w:styleId="786">
    <w:name w:val="Heading 6"/>
    <w:basedOn w:val="947"/>
    <w:next w:val="947"/>
    <w:link w:val="7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7">
    <w:name w:val="Heading 6 Char"/>
    <w:basedOn w:val="952"/>
    <w:link w:val="786"/>
    <w:uiPriority w:val="9"/>
    <w:rPr>
      <w:rFonts w:ascii="Arial" w:hAnsi="Arial" w:eastAsia="Arial" w:cs="Arial"/>
      <w:b/>
      <w:bCs/>
      <w:sz w:val="22"/>
      <w:szCs w:val="22"/>
    </w:rPr>
  </w:style>
  <w:style w:type="paragraph" w:styleId="788">
    <w:name w:val="Heading 7"/>
    <w:basedOn w:val="947"/>
    <w:next w:val="947"/>
    <w:link w:val="7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9">
    <w:name w:val="Heading 7 Char"/>
    <w:basedOn w:val="952"/>
    <w:link w:val="7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90">
    <w:name w:val="Heading 8"/>
    <w:basedOn w:val="947"/>
    <w:next w:val="947"/>
    <w:link w:val="7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91">
    <w:name w:val="Heading 8 Char"/>
    <w:basedOn w:val="952"/>
    <w:link w:val="790"/>
    <w:uiPriority w:val="9"/>
    <w:rPr>
      <w:rFonts w:ascii="Arial" w:hAnsi="Arial" w:eastAsia="Arial" w:cs="Arial"/>
      <w:i/>
      <w:iCs/>
      <w:sz w:val="22"/>
      <w:szCs w:val="22"/>
    </w:rPr>
  </w:style>
  <w:style w:type="paragraph" w:styleId="792">
    <w:name w:val="Heading 9"/>
    <w:basedOn w:val="947"/>
    <w:next w:val="947"/>
    <w:link w:val="7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3">
    <w:name w:val="Heading 9 Char"/>
    <w:basedOn w:val="952"/>
    <w:link w:val="792"/>
    <w:uiPriority w:val="9"/>
    <w:rPr>
      <w:rFonts w:ascii="Arial" w:hAnsi="Arial" w:eastAsia="Arial" w:cs="Arial"/>
      <w:i/>
      <w:iCs/>
      <w:sz w:val="21"/>
      <w:szCs w:val="21"/>
    </w:rPr>
  </w:style>
  <w:style w:type="character" w:styleId="794">
    <w:name w:val="Title Char"/>
    <w:basedOn w:val="952"/>
    <w:link w:val="959"/>
    <w:uiPriority w:val="10"/>
    <w:rPr>
      <w:sz w:val="48"/>
      <w:szCs w:val="48"/>
    </w:rPr>
  </w:style>
  <w:style w:type="paragraph" w:styleId="795">
    <w:name w:val="Subtitle"/>
    <w:basedOn w:val="947"/>
    <w:next w:val="947"/>
    <w:link w:val="796"/>
    <w:uiPriority w:val="11"/>
    <w:qFormat/>
    <w:pPr>
      <w:spacing w:before="200" w:after="200"/>
    </w:pPr>
    <w:rPr>
      <w:sz w:val="24"/>
      <w:szCs w:val="24"/>
    </w:rPr>
  </w:style>
  <w:style w:type="character" w:styleId="796">
    <w:name w:val="Subtitle Char"/>
    <w:basedOn w:val="952"/>
    <w:link w:val="795"/>
    <w:uiPriority w:val="11"/>
    <w:rPr>
      <w:sz w:val="24"/>
      <w:szCs w:val="24"/>
    </w:rPr>
  </w:style>
  <w:style w:type="paragraph" w:styleId="797">
    <w:name w:val="Quote"/>
    <w:basedOn w:val="947"/>
    <w:next w:val="947"/>
    <w:link w:val="798"/>
    <w:uiPriority w:val="29"/>
    <w:qFormat/>
    <w:pPr>
      <w:ind w:left="720" w:right="720"/>
    </w:pPr>
    <w:rPr>
      <w:i/>
    </w:rPr>
  </w:style>
  <w:style w:type="character" w:styleId="798">
    <w:name w:val="Quote Char"/>
    <w:link w:val="797"/>
    <w:uiPriority w:val="29"/>
    <w:rPr>
      <w:i/>
    </w:rPr>
  </w:style>
  <w:style w:type="paragraph" w:styleId="799">
    <w:name w:val="Intense Quote"/>
    <w:basedOn w:val="947"/>
    <w:next w:val="947"/>
    <w:link w:val="8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0">
    <w:name w:val="Intense Quote Char"/>
    <w:link w:val="799"/>
    <w:uiPriority w:val="30"/>
    <w:rPr>
      <w:i/>
    </w:rPr>
  </w:style>
  <w:style w:type="paragraph" w:styleId="801">
    <w:name w:val="Header"/>
    <w:basedOn w:val="947"/>
    <w:link w:val="8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02">
    <w:name w:val="Header Char"/>
    <w:basedOn w:val="952"/>
    <w:link w:val="801"/>
    <w:uiPriority w:val="99"/>
  </w:style>
  <w:style w:type="character" w:styleId="803">
    <w:name w:val="Footer Char"/>
    <w:basedOn w:val="952"/>
    <w:link w:val="975"/>
    <w:uiPriority w:val="99"/>
  </w:style>
  <w:style w:type="paragraph" w:styleId="804">
    <w:name w:val="Caption"/>
    <w:basedOn w:val="947"/>
    <w:next w:val="947"/>
    <w:link w:val="80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5">
    <w:name w:val="Caption Char"/>
    <w:basedOn w:val="952"/>
    <w:link w:val="804"/>
    <w:uiPriority w:val="35"/>
    <w:rPr>
      <w:b/>
      <w:bCs/>
      <w:color w:val="4f81bd" w:themeColor="accent1"/>
      <w:sz w:val="18"/>
      <w:szCs w:val="18"/>
    </w:rPr>
  </w:style>
  <w:style w:type="table" w:styleId="806">
    <w:name w:val="Table Grid"/>
    <w:basedOn w:val="95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7">
    <w:name w:val="Table Grid Light"/>
    <w:basedOn w:val="9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8">
    <w:name w:val="Plain Table 1"/>
    <w:basedOn w:val="9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9">
    <w:name w:val="Plain Table 2"/>
    <w:basedOn w:val="95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0">
    <w:name w:val="Plain Table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1">
    <w:name w:val="Plain Table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Plain Table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3">
    <w:name w:val="Grid Table 1 Light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1 Light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1 Light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Grid Table 1 Light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1 Light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1 Light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2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2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2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2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3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3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4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5">
    <w:name w:val="Grid Table 4 - Accent 1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6">
    <w:name w:val="Grid Table 4 - Accent 2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7">
    <w:name w:val="Grid Table 4 - Accent 3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8">
    <w:name w:val="Grid Table 4 - Accent 4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9">
    <w:name w:val="Grid Table 4 - Accent 5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0">
    <w:name w:val="Grid Table 4 - Accent 6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1">
    <w:name w:val="Grid Table 5 Dark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2">
    <w:name w:val="Grid Table 5 Dark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3">
    <w:name w:val="Grid Table 5 Dark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4">
    <w:name w:val="Grid Table 5 Dark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45">
    <w:name w:val="Grid Table 5 Dark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46">
    <w:name w:val="Grid Table 5 Dark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47">
    <w:name w:val="Grid Table 5 Dark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48">
    <w:name w:val="Grid Table 6 Colorful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9">
    <w:name w:val="Grid Table 6 Colorful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0">
    <w:name w:val="Grid Table 6 Colorful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1">
    <w:name w:val="Grid Table 6 Colorful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2">
    <w:name w:val="Grid Table 6 Colorful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3">
    <w:name w:val="Grid Table 6 Colorful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4">
    <w:name w:val="Grid Table 6 Colorful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5">
    <w:name w:val="Grid Table 7 Colorful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7 Colorful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7 Colorful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7 Colorful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7 Colorful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1 Light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1 Light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0">
    <w:name w:val="List Table 2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1">
    <w:name w:val="List Table 2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2">
    <w:name w:val="List Table 2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3">
    <w:name w:val="List Table 2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4">
    <w:name w:val="List Table 2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5">
    <w:name w:val="List Table 2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6">
    <w:name w:val="List Table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3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3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3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3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3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4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4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5 Dark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1">
    <w:name w:val="List Table 5 Dark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2">
    <w:name w:val="List Table 5 Dark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3">
    <w:name w:val="List Table 5 Dark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4">
    <w:name w:val="List Table 5 Dark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5">
    <w:name w:val="List Table 5 Dark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6">
    <w:name w:val="List Table 5 Dark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7">
    <w:name w:val="List Table 6 Colorful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8">
    <w:name w:val="List Table 6 Colorful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9">
    <w:name w:val="List Table 6 Colorful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0">
    <w:name w:val="List Table 6 Colorful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1">
    <w:name w:val="List Table 6 Colorful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2">
    <w:name w:val="List Table 6 Colorful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3">
    <w:name w:val="List Table 6 Colorful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4">
    <w:name w:val="List Table 7 Colorful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5">
    <w:name w:val="List Table 7 Colorful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06">
    <w:name w:val="List Table 7 Colorful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07">
    <w:name w:val="List Table 7 Colorful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08">
    <w:name w:val="List Table 7 Colorful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09">
    <w:name w:val="List Table 7 Colorful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10">
    <w:name w:val="List Table 7 Colorful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11">
    <w:name w:val="Lined - Accent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2">
    <w:name w:val="Lined - Accent 1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3">
    <w:name w:val="Lined - Accent 2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4">
    <w:name w:val="Lined - Accent 3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5">
    <w:name w:val="Lined - Accent 4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6">
    <w:name w:val="Lined - Accent 5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7">
    <w:name w:val="Lined - Accent 6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8">
    <w:name w:val="Bordered &amp; Lined - Accent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9">
    <w:name w:val="Bordered &amp; Lined - Accent 1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0">
    <w:name w:val="Bordered &amp; Lined - Accent 2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1">
    <w:name w:val="Bordered &amp; Lined - Accent 3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2">
    <w:name w:val="Bordered &amp; Lined - Accent 4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3">
    <w:name w:val="Bordered &amp; Lined - Accent 5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4">
    <w:name w:val="Bordered &amp; Lined - Accent 6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5">
    <w:name w:val="Bordered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6">
    <w:name w:val="Bordered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7">
    <w:name w:val="Bordered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8">
    <w:name w:val="Bordered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9">
    <w:name w:val="Bordered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0">
    <w:name w:val="Bordered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1">
    <w:name w:val="Bordered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2">
    <w:name w:val="Footnote Text Char"/>
    <w:link w:val="993"/>
    <w:uiPriority w:val="99"/>
    <w:rPr>
      <w:sz w:val="18"/>
    </w:rPr>
  </w:style>
  <w:style w:type="paragraph" w:styleId="933">
    <w:name w:val="endnote text"/>
    <w:basedOn w:val="947"/>
    <w:link w:val="934"/>
    <w:uiPriority w:val="99"/>
    <w:semiHidden/>
    <w:unhideWhenUsed/>
    <w:pPr>
      <w:spacing w:after="0" w:line="240" w:lineRule="auto"/>
    </w:pPr>
    <w:rPr>
      <w:sz w:val="20"/>
    </w:rPr>
  </w:style>
  <w:style w:type="character" w:styleId="934">
    <w:name w:val="Endnote Text Char"/>
    <w:link w:val="933"/>
    <w:uiPriority w:val="99"/>
    <w:rPr>
      <w:sz w:val="20"/>
    </w:rPr>
  </w:style>
  <w:style w:type="character" w:styleId="935">
    <w:name w:val="endnote reference"/>
    <w:basedOn w:val="952"/>
    <w:uiPriority w:val="99"/>
    <w:semiHidden/>
    <w:unhideWhenUsed/>
    <w:rPr>
      <w:vertAlign w:val="superscript"/>
    </w:rPr>
  </w:style>
  <w:style w:type="paragraph" w:styleId="936">
    <w:name w:val="toc 1"/>
    <w:basedOn w:val="947"/>
    <w:next w:val="947"/>
    <w:uiPriority w:val="39"/>
    <w:unhideWhenUsed/>
    <w:pPr>
      <w:ind w:left="0" w:right="0" w:firstLine="0"/>
      <w:spacing w:after="57"/>
    </w:pPr>
  </w:style>
  <w:style w:type="paragraph" w:styleId="937">
    <w:name w:val="toc 2"/>
    <w:basedOn w:val="947"/>
    <w:next w:val="947"/>
    <w:uiPriority w:val="39"/>
    <w:unhideWhenUsed/>
    <w:pPr>
      <w:ind w:left="283" w:right="0" w:firstLine="0"/>
      <w:spacing w:after="57"/>
    </w:pPr>
  </w:style>
  <w:style w:type="paragraph" w:styleId="938">
    <w:name w:val="toc 3"/>
    <w:basedOn w:val="947"/>
    <w:next w:val="947"/>
    <w:uiPriority w:val="39"/>
    <w:unhideWhenUsed/>
    <w:pPr>
      <w:ind w:left="567" w:right="0" w:firstLine="0"/>
      <w:spacing w:after="57"/>
    </w:pPr>
  </w:style>
  <w:style w:type="paragraph" w:styleId="939">
    <w:name w:val="toc 4"/>
    <w:basedOn w:val="947"/>
    <w:next w:val="947"/>
    <w:uiPriority w:val="39"/>
    <w:unhideWhenUsed/>
    <w:pPr>
      <w:ind w:left="850" w:right="0" w:firstLine="0"/>
      <w:spacing w:after="57"/>
    </w:pPr>
  </w:style>
  <w:style w:type="paragraph" w:styleId="940">
    <w:name w:val="toc 5"/>
    <w:basedOn w:val="947"/>
    <w:next w:val="947"/>
    <w:uiPriority w:val="39"/>
    <w:unhideWhenUsed/>
    <w:pPr>
      <w:ind w:left="1134" w:right="0" w:firstLine="0"/>
      <w:spacing w:after="57"/>
    </w:pPr>
  </w:style>
  <w:style w:type="paragraph" w:styleId="941">
    <w:name w:val="toc 6"/>
    <w:basedOn w:val="947"/>
    <w:next w:val="947"/>
    <w:uiPriority w:val="39"/>
    <w:unhideWhenUsed/>
    <w:pPr>
      <w:ind w:left="1417" w:right="0" w:firstLine="0"/>
      <w:spacing w:after="57"/>
    </w:pPr>
  </w:style>
  <w:style w:type="paragraph" w:styleId="942">
    <w:name w:val="toc 7"/>
    <w:basedOn w:val="947"/>
    <w:next w:val="947"/>
    <w:uiPriority w:val="39"/>
    <w:unhideWhenUsed/>
    <w:pPr>
      <w:ind w:left="1701" w:right="0" w:firstLine="0"/>
      <w:spacing w:after="57"/>
    </w:pPr>
  </w:style>
  <w:style w:type="paragraph" w:styleId="943">
    <w:name w:val="toc 8"/>
    <w:basedOn w:val="947"/>
    <w:next w:val="947"/>
    <w:uiPriority w:val="39"/>
    <w:unhideWhenUsed/>
    <w:pPr>
      <w:ind w:left="1984" w:right="0" w:firstLine="0"/>
      <w:spacing w:after="57"/>
    </w:pPr>
  </w:style>
  <w:style w:type="paragraph" w:styleId="944">
    <w:name w:val="toc 9"/>
    <w:basedOn w:val="947"/>
    <w:next w:val="947"/>
    <w:uiPriority w:val="39"/>
    <w:unhideWhenUsed/>
    <w:pPr>
      <w:ind w:left="2268" w:right="0" w:firstLine="0"/>
      <w:spacing w:after="57"/>
    </w:pPr>
  </w:style>
  <w:style w:type="paragraph" w:styleId="945">
    <w:name w:val="TOC Heading"/>
    <w:uiPriority w:val="39"/>
    <w:unhideWhenUsed/>
  </w:style>
  <w:style w:type="paragraph" w:styleId="946">
    <w:name w:val="table of figures"/>
    <w:basedOn w:val="947"/>
    <w:next w:val="947"/>
    <w:uiPriority w:val="99"/>
    <w:unhideWhenUsed/>
    <w:pPr>
      <w:spacing w:after="0" w:afterAutospacing="0"/>
    </w:pPr>
  </w:style>
  <w:style w:type="paragraph" w:styleId="94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8">
    <w:name w:val="Heading 1"/>
    <w:basedOn w:val="947"/>
    <w:next w:val="947"/>
    <w:link w:val="955"/>
    <w:qFormat/>
    <w:pPr>
      <w:jc w:val="center"/>
      <w:keepNext/>
      <w:outlineLvl w:val="0"/>
    </w:pPr>
    <w:rPr>
      <w:sz w:val="28"/>
    </w:rPr>
  </w:style>
  <w:style w:type="paragraph" w:styleId="949">
    <w:name w:val="Heading 2"/>
    <w:basedOn w:val="947"/>
    <w:next w:val="947"/>
    <w:link w:val="980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950">
    <w:name w:val="Heading 3"/>
    <w:basedOn w:val="947"/>
    <w:next w:val="947"/>
    <w:link w:val="978"/>
    <w:uiPriority w:val="9"/>
    <w:semiHidden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951">
    <w:name w:val="Heading 5"/>
    <w:basedOn w:val="947"/>
    <w:next w:val="947"/>
    <w:link w:val="973"/>
    <w:unhideWhenUsed/>
    <w:qFormat/>
    <w:pPr>
      <w:keepLines/>
      <w:keepNext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952" w:default="1">
    <w:name w:val="Default Paragraph Font"/>
    <w:uiPriority w:val="1"/>
    <w:semiHidden/>
    <w:unhideWhenUsed/>
  </w:style>
  <w:style w:type="table" w:styleId="9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54" w:default="1">
    <w:name w:val="No List"/>
    <w:uiPriority w:val="99"/>
    <w:semiHidden/>
    <w:unhideWhenUsed/>
  </w:style>
  <w:style w:type="character" w:styleId="955" w:customStyle="1">
    <w:name w:val="Заголовок 1 Знак"/>
    <w:basedOn w:val="952"/>
    <w:link w:val="948"/>
    <w:rPr>
      <w:rFonts w:ascii="Times New Roman" w:hAnsi="Times New Roman" w:eastAsia="Times New Roman" w:cs="Times New Roman"/>
      <w:sz w:val="28"/>
      <w:szCs w:val="24"/>
    </w:rPr>
  </w:style>
  <w:style w:type="paragraph" w:styleId="956">
    <w:name w:val="Body Text Indent"/>
    <w:basedOn w:val="947"/>
    <w:link w:val="957"/>
    <w:uiPriority w:val="99"/>
    <w:pPr>
      <w:ind w:left="1083" w:firstLine="537"/>
      <w:jc w:val="both"/>
      <w:tabs>
        <w:tab w:val="num" w:pos="0" w:leader="none"/>
      </w:tabs>
    </w:pPr>
  </w:style>
  <w:style w:type="character" w:styleId="957" w:customStyle="1">
    <w:name w:val="Основной текст с отступом Знак"/>
    <w:basedOn w:val="952"/>
    <w:link w:val="956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958">
    <w:name w:val="Normal (Web)"/>
    <w:basedOn w:val="947"/>
    <w:uiPriority w:val="99"/>
    <w:pPr>
      <w:spacing w:before="100" w:beforeAutospacing="1" w:after="100" w:afterAutospacing="1"/>
    </w:pPr>
  </w:style>
  <w:style w:type="paragraph" w:styleId="959">
    <w:name w:val="Title"/>
    <w:basedOn w:val="947"/>
    <w:link w:val="960"/>
    <w:uiPriority w:val="10"/>
    <w:qFormat/>
    <w:pPr>
      <w:jc w:val="center"/>
    </w:pPr>
    <w:rPr>
      <w:sz w:val="28"/>
    </w:rPr>
  </w:style>
  <w:style w:type="character" w:styleId="960" w:customStyle="1">
    <w:name w:val="Заголовок Знак"/>
    <w:basedOn w:val="952"/>
    <w:link w:val="959"/>
    <w:uiPriority w:val="10"/>
    <w:rPr>
      <w:rFonts w:ascii="Times New Roman" w:hAnsi="Times New Roman" w:eastAsia="Times New Roman" w:cs="Times New Roman"/>
      <w:sz w:val="28"/>
      <w:szCs w:val="24"/>
    </w:rPr>
  </w:style>
  <w:style w:type="paragraph" w:styleId="961" w:customStyle="1">
    <w:name w:val="Подподпункт"/>
    <w:basedOn w:val="947"/>
  </w:style>
  <w:style w:type="paragraph" w:styleId="962">
    <w:name w:val="Plain Text"/>
    <w:basedOn w:val="947"/>
    <w:link w:val="963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963" w:customStyle="1">
    <w:name w:val="Текст Знак"/>
    <w:basedOn w:val="952"/>
    <w:link w:val="962"/>
    <w:uiPriority w:val="99"/>
    <w:rPr>
      <w:rFonts w:ascii="Consolas" w:hAnsi="Consolas" w:eastAsia="Calibri" w:cs="Times New Roman"/>
      <w:sz w:val="21"/>
      <w:szCs w:val="21"/>
    </w:rPr>
  </w:style>
  <w:style w:type="character" w:styleId="964">
    <w:name w:val="annotation reference"/>
    <w:uiPriority w:val="99"/>
    <w:rPr>
      <w:sz w:val="16"/>
      <w:szCs w:val="16"/>
    </w:rPr>
  </w:style>
  <w:style w:type="paragraph" w:styleId="965">
    <w:name w:val="annotation text"/>
    <w:basedOn w:val="947"/>
    <w:link w:val="966"/>
    <w:uiPriority w:val="99"/>
    <w:rPr>
      <w:sz w:val="20"/>
      <w:szCs w:val="20"/>
    </w:rPr>
  </w:style>
  <w:style w:type="character" w:styleId="966" w:customStyle="1">
    <w:name w:val="Текст примечания Знак"/>
    <w:basedOn w:val="952"/>
    <w:link w:val="965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67">
    <w:name w:val="Balloon Text"/>
    <w:basedOn w:val="947"/>
    <w:link w:val="968"/>
    <w:uiPriority w:val="99"/>
    <w:semiHidden/>
    <w:unhideWhenUsed/>
    <w:rPr>
      <w:rFonts w:ascii="Tahoma" w:hAnsi="Tahoma" w:cs="Tahoma"/>
      <w:sz w:val="16"/>
      <w:szCs w:val="16"/>
    </w:rPr>
  </w:style>
  <w:style w:type="character" w:styleId="968" w:customStyle="1">
    <w:name w:val="Текст выноски Знак"/>
    <w:basedOn w:val="952"/>
    <w:link w:val="967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69">
    <w:name w:val="annotation subject"/>
    <w:basedOn w:val="965"/>
    <w:next w:val="965"/>
    <w:link w:val="970"/>
    <w:uiPriority w:val="99"/>
    <w:semiHidden/>
    <w:unhideWhenUsed/>
    <w:rPr>
      <w:b/>
      <w:bCs/>
    </w:rPr>
  </w:style>
  <w:style w:type="character" w:styleId="970" w:customStyle="1">
    <w:name w:val="Тема примечания Знак"/>
    <w:basedOn w:val="966"/>
    <w:link w:val="969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71">
    <w:name w:val="List Paragraph"/>
    <w:basedOn w:val="947"/>
    <w:link w:val="979"/>
    <w:uiPriority w:val="34"/>
    <w:qFormat/>
    <w:pPr>
      <w:contextualSpacing/>
      <w:ind w:left="720"/>
    </w:pPr>
  </w:style>
  <w:style w:type="character" w:styleId="972">
    <w:name w:val="Hyperlink"/>
    <w:basedOn w:val="952"/>
    <w:uiPriority w:val="99"/>
    <w:unhideWhenUsed/>
    <w:rPr>
      <w:color w:val="0000ff"/>
      <w:u w:val="single"/>
    </w:rPr>
  </w:style>
  <w:style w:type="character" w:styleId="973" w:customStyle="1">
    <w:name w:val="Заголовок 5 Знак"/>
    <w:basedOn w:val="952"/>
    <w:link w:val="951"/>
    <w:rPr>
      <w:rFonts w:asciiTheme="majorHAnsi" w:hAnsiTheme="majorHAnsi" w:eastAsiaTheme="majorEastAsia" w:cstheme="majorBidi"/>
      <w:color w:val="365f91" w:themeColor="accent1" w:themeShade="BF"/>
      <w:sz w:val="24"/>
      <w:szCs w:val="24"/>
      <w:lang w:eastAsia="ru-RU"/>
    </w:rPr>
  </w:style>
  <w:style w:type="paragraph" w:styleId="974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5">
    <w:name w:val="Footer"/>
    <w:basedOn w:val="947"/>
    <w:link w:val="976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976" w:customStyle="1">
    <w:name w:val="Нижний колонтитул Знак"/>
    <w:basedOn w:val="952"/>
    <w:link w:val="975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977">
    <w:name w:val="page number"/>
    <w:basedOn w:val="952"/>
  </w:style>
  <w:style w:type="character" w:styleId="978" w:customStyle="1">
    <w:name w:val="Заголовок 3 Знак"/>
    <w:basedOn w:val="952"/>
    <w:link w:val="950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ru-RU"/>
    </w:rPr>
  </w:style>
  <w:style w:type="character" w:styleId="979" w:customStyle="1">
    <w:name w:val="Абзац списка Знак"/>
    <w:basedOn w:val="952"/>
    <w:link w:val="971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80" w:customStyle="1">
    <w:name w:val="Заголовок 2 Знак"/>
    <w:basedOn w:val="952"/>
    <w:link w:val="949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paragraph" w:styleId="981" w:customStyle="1">
    <w:name w:val="1-з"/>
    <w:qFormat/>
    <w:pPr>
      <w:numPr>
        <w:ilvl w:val="0"/>
        <w:numId w:val="27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982" w:customStyle="1">
    <w:name w:val="2-з"/>
    <w:basedOn w:val="947"/>
    <w:qFormat/>
    <w:pPr>
      <w:numPr>
        <w:ilvl w:val="1"/>
        <w:numId w:val="27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983" w:customStyle="1">
    <w:name w:val="3-з"/>
    <w:link w:val="989"/>
    <w:qFormat/>
    <w:pPr>
      <w:numPr>
        <w:ilvl w:val="2"/>
        <w:numId w:val="27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984" w:customStyle="1">
    <w:name w:val="нумерация"/>
    <w:uiPriority w:val="99"/>
    <w:pPr>
      <w:numPr>
        <w:ilvl w:val="0"/>
        <w:numId w:val="26"/>
      </w:numPr>
    </w:pPr>
  </w:style>
  <w:style w:type="paragraph" w:styleId="985" w:customStyle="1">
    <w:name w:val="4-з"/>
    <w:qFormat/>
    <w:pPr>
      <w:numPr>
        <w:ilvl w:val="3"/>
        <w:numId w:val="27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86" w:customStyle="1">
    <w:name w:val="5-з"/>
    <w:basedOn w:val="947"/>
    <w:qFormat/>
    <w:pPr>
      <w:numPr>
        <w:ilvl w:val="4"/>
        <w:numId w:val="27"/>
      </w:numPr>
      <w:jc w:val="both"/>
      <w:widowControl w:val="off"/>
    </w:pPr>
    <w:rPr>
      <w:szCs w:val="20"/>
    </w:rPr>
  </w:style>
  <w:style w:type="paragraph" w:styleId="987" w:customStyle="1">
    <w:name w:val="6-буквы"/>
    <w:basedOn w:val="947"/>
    <w:qFormat/>
    <w:pPr>
      <w:numPr>
        <w:ilvl w:val="5"/>
        <w:numId w:val="27"/>
      </w:numPr>
      <w:jc w:val="both"/>
      <w:widowControl w:val="off"/>
    </w:pPr>
    <w:rPr>
      <w:szCs w:val="20"/>
    </w:rPr>
  </w:style>
  <w:style w:type="paragraph" w:styleId="988" w:customStyle="1">
    <w:name w:val="7-форма"/>
    <w:qFormat/>
    <w:pPr>
      <w:numPr>
        <w:ilvl w:val="6"/>
        <w:numId w:val="27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989" w:customStyle="1">
    <w:name w:val="3-з Знак"/>
    <w:basedOn w:val="952"/>
    <w:link w:val="983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90" w:customStyle="1">
    <w:name w:val="Абзац списка1"/>
    <w:basedOn w:val="947"/>
    <w:link w:val="991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991" w:customStyle="1">
    <w:name w:val="List Paragraph Char"/>
    <w:link w:val="990"/>
    <w:rPr>
      <w:rFonts w:ascii="Times New Roman" w:hAnsi="Times New Roman" w:eastAsia="SimSun" w:cs="Times New Roman"/>
      <w:color w:val="000000"/>
      <w:sz w:val="24"/>
      <w:szCs w:val="20"/>
    </w:rPr>
  </w:style>
  <w:style w:type="paragraph" w:styleId="992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93">
    <w:name w:val="footnote text"/>
    <w:basedOn w:val="947"/>
    <w:link w:val="994"/>
    <w:uiPriority w:val="99"/>
    <w:unhideWhenUsed/>
    <w:rPr>
      <w:sz w:val="20"/>
      <w:szCs w:val="20"/>
    </w:rPr>
  </w:style>
  <w:style w:type="character" w:styleId="994" w:customStyle="1">
    <w:name w:val="Текст сноски Знак"/>
    <w:basedOn w:val="952"/>
    <w:link w:val="99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95">
    <w:name w:val="footnote reference"/>
    <w:basedOn w:val="952"/>
    <w:uiPriority w:val="99"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1041D0-7069-4593-8AF8-7B2C7B681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lastModifiedBy>Kushnarev-AG</cp:lastModifiedBy>
  <cp:revision>10</cp:revision>
  <dcterms:created xsi:type="dcterms:W3CDTF">2025-09-08T04:58:00Z</dcterms:created>
  <dcterms:modified xsi:type="dcterms:W3CDTF">2026-08-06T08:41:00Z</dcterms:modified>
</cp:coreProperties>
</file>